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 xml:space="preserve">Marco Bravi, Antonio </w:t>
            </w:r>
            <w:proofErr w:type="spellStart"/>
            <w:r w:rsidR="00005884" w:rsidRPr="00005884">
              <w:rPr>
                <w:rFonts w:ascii="Tahoma" w:hAnsi="Tahoma" w:cs="Tahoma"/>
                <w:color w:val="000000"/>
                <w:sz w:val="14"/>
                <w:szCs w:val="14"/>
                <w:shd w:val="clear" w:color="auto" w:fill="FFFFFF"/>
                <w:lang w:val="it-IT"/>
              </w:rPr>
              <w:t>Marzocchella</w:t>
            </w:r>
            <w:proofErr w:type="spellEnd"/>
            <w:r w:rsidR="00005884" w:rsidRPr="00005884">
              <w:rPr>
                <w:rFonts w:ascii="Tahoma" w:hAnsi="Tahoma" w:cs="Tahoma"/>
                <w:color w:val="000000"/>
                <w:sz w:val="14"/>
                <w:szCs w:val="14"/>
                <w:shd w:val="clear" w:color="auto" w:fill="FFFFFF"/>
                <w:lang w:val="it-IT"/>
              </w:rPr>
              <w:t>,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4A72A0B" w:rsidR="00E978D0" w:rsidRPr="00B57B36" w:rsidRDefault="007E6536" w:rsidP="00E978D0">
      <w:pPr>
        <w:pStyle w:val="CETTitle"/>
      </w:pPr>
      <w:r w:rsidRPr="007E6536">
        <w:t>Combined Growth Kinetics and Scale-Up Criteria for Designing CHO Cell Bioreactors</w:t>
      </w:r>
    </w:p>
    <w:p w14:paraId="0488FED2" w14:textId="17A2519B" w:rsidR="00B57E6F" w:rsidRPr="004E2D3B" w:rsidRDefault="004E2D3B" w:rsidP="00B57E6F">
      <w:pPr>
        <w:pStyle w:val="CETAuthors"/>
        <w:rPr>
          <w:lang w:val="it-IT"/>
        </w:rPr>
      </w:pPr>
      <w:r w:rsidRPr="004E2D3B">
        <w:rPr>
          <w:lang w:val="it-IT"/>
        </w:rPr>
        <w:t>Daniela De Cata</w:t>
      </w:r>
      <w:r>
        <w:rPr>
          <w:lang w:val="it-IT"/>
        </w:rPr>
        <w:t>*</w:t>
      </w:r>
      <w:r w:rsidRPr="004E2D3B">
        <w:rPr>
          <w:lang w:val="it-IT"/>
        </w:rPr>
        <w:t xml:space="preserve">, Leone </w:t>
      </w:r>
      <w:r>
        <w:rPr>
          <w:lang w:val="it-IT"/>
        </w:rPr>
        <w:t>Mazzeo, Vincenzo Piemonte</w:t>
      </w:r>
    </w:p>
    <w:p w14:paraId="3D72B0B0" w14:textId="3BE77808" w:rsidR="00B57E6F" w:rsidRPr="007E6536" w:rsidRDefault="007E6536" w:rsidP="007E6536">
      <w:pPr>
        <w:pStyle w:val="CETAddress"/>
        <w:rPr>
          <w:lang w:val="en-US"/>
        </w:rPr>
      </w:pPr>
      <w:r w:rsidRPr="007E6536">
        <w:rPr>
          <w:lang w:val="en-US"/>
        </w:rPr>
        <w:t>Faculty of Engineering, Unit of Chemical-physics Fundamentals in Chemical Engineering, University Campus Bio-medico of Rome, Via Alvaro del Portillo, 21, 00128, Rome, Italy</w:t>
      </w:r>
    </w:p>
    <w:p w14:paraId="73F1267A" w14:textId="6E207DC0" w:rsidR="00B57E6F" w:rsidRPr="00B57B36" w:rsidRDefault="006A774F" w:rsidP="00B57E6F">
      <w:pPr>
        <w:pStyle w:val="CETemail"/>
      </w:pPr>
      <w:r>
        <w:t>*</w:t>
      </w:r>
      <w:r w:rsidR="004E2D3B">
        <w:t>daniela.decata@unicampus.it</w:t>
      </w:r>
    </w:p>
    <w:p w14:paraId="588A7AC3" w14:textId="2A9FF2C3" w:rsidR="00FA1550" w:rsidRPr="00FA1550" w:rsidRDefault="00FA1550" w:rsidP="00FA1550">
      <w:pPr>
        <w:pStyle w:val="CETBodytext"/>
        <w:rPr>
          <w:lang w:eastAsia="en-GB"/>
        </w:rPr>
      </w:pPr>
      <w:r w:rsidRPr="00FA1550">
        <w:rPr>
          <w:lang w:eastAsia="en-GB"/>
        </w:rPr>
        <w:t>The scale-up of Chinese Hamster Ovary (CHO) cell bioprocesses presents significant challenges, particularly in ensuring uniform and adequate oxygen transfer throughout the reactor, while simultaneously limiting shear stress generated by the impellers, to which CHO cells are highly sensitive.</w:t>
      </w:r>
      <w:r>
        <w:rPr>
          <w:lang w:eastAsia="en-GB"/>
        </w:rPr>
        <w:t xml:space="preserve"> </w:t>
      </w:r>
      <w:r w:rsidRPr="00FA1550">
        <w:rPr>
          <w:lang w:eastAsia="en-GB"/>
        </w:rPr>
        <w:t>This work proposes a practical and integrated approach that combines kinetic mathematical modeling with key scale-up design criteria, enabling the simultaneous consideration of the main constraints involved in CHO bioreactor design.</w:t>
      </w:r>
      <w:r w:rsidR="006A5B6C">
        <w:rPr>
          <w:lang w:eastAsia="en-GB"/>
        </w:rPr>
        <w:t xml:space="preserve"> </w:t>
      </w:r>
      <w:r w:rsidRPr="00FA1550">
        <w:rPr>
          <w:lang w:eastAsia="en-GB"/>
        </w:rPr>
        <w:t xml:space="preserve">The methodology not only ensures </w:t>
      </w:r>
      <w:r w:rsidR="006A5B6C">
        <w:rPr>
          <w:lang w:eastAsia="en-GB"/>
        </w:rPr>
        <w:t xml:space="preserve">the </w:t>
      </w:r>
      <w:r w:rsidRPr="00FA1550">
        <w:rPr>
          <w:lang w:eastAsia="en-GB"/>
        </w:rPr>
        <w:t>achievement of the desired production target</w:t>
      </w:r>
      <w:r w:rsidR="007F3D5F">
        <w:rPr>
          <w:lang w:eastAsia="en-GB"/>
        </w:rPr>
        <w:t xml:space="preserve">, but also </w:t>
      </w:r>
      <w:r w:rsidR="007F3D5F" w:rsidRPr="00FA1550">
        <w:rPr>
          <w:lang w:eastAsia="en-GB"/>
        </w:rPr>
        <w:t>supports optimal reactor design</w:t>
      </w:r>
      <w:r w:rsidR="007F3D5F">
        <w:rPr>
          <w:lang w:eastAsia="en-GB"/>
        </w:rPr>
        <w:t xml:space="preserve"> and operating conditions</w:t>
      </w:r>
      <w:r w:rsidRPr="00FA1550">
        <w:rPr>
          <w:lang w:eastAsia="en-GB"/>
        </w:rPr>
        <w:t>.</w:t>
      </w:r>
      <w:r>
        <w:rPr>
          <w:lang w:eastAsia="en-GB"/>
        </w:rPr>
        <w:t xml:space="preserve"> </w:t>
      </w:r>
      <w:r w:rsidRPr="00FA1550">
        <w:rPr>
          <w:lang w:eastAsia="en-GB"/>
        </w:rPr>
        <w:t xml:space="preserve">The proposed framework was </w:t>
      </w:r>
      <w:r w:rsidR="001F3509">
        <w:rPr>
          <w:lang w:eastAsia="en-GB"/>
        </w:rPr>
        <w:t xml:space="preserve">demonstrated </w:t>
      </w:r>
      <w:r w:rsidRPr="00FA1550">
        <w:rPr>
          <w:lang w:eastAsia="en-GB"/>
        </w:rPr>
        <w:t xml:space="preserve">through a case study, </w:t>
      </w:r>
      <w:r w:rsidR="001F3509">
        <w:rPr>
          <w:lang w:eastAsia="en-GB"/>
        </w:rPr>
        <w:t xml:space="preserve">proving </w:t>
      </w:r>
      <w:r w:rsidRPr="00FA1550">
        <w:rPr>
          <w:lang w:eastAsia="en-GB"/>
        </w:rPr>
        <w:t>its robustness and reliability.</w:t>
      </w:r>
    </w:p>
    <w:p w14:paraId="476B2F2E" w14:textId="7C16E801" w:rsidR="00600535" w:rsidRPr="00B57B36" w:rsidRDefault="00600535" w:rsidP="00600535">
      <w:pPr>
        <w:pStyle w:val="CETHeading1"/>
        <w:rPr>
          <w:lang w:val="en-GB"/>
        </w:rPr>
      </w:pPr>
      <w:r w:rsidRPr="00B57B36">
        <w:rPr>
          <w:lang w:val="en-GB"/>
        </w:rPr>
        <w:t>Introduction</w:t>
      </w:r>
    </w:p>
    <w:p w14:paraId="6B4C63E5" w14:textId="68B40DE2" w:rsidR="00600535" w:rsidRPr="00B57B36" w:rsidRDefault="00463CBB" w:rsidP="00BB27EF">
      <w:r w:rsidRPr="00463CBB">
        <w:t>Chinese Hamster Ovary (CHO) cells are commonly employed as a host for producing various recombinant proteins for therapeutic applications (Jayapal et al.2007). However, to optimize the use of bioreactors in industrial applications, it is necessary to account for a multitude of factors that affect system performance. First, in order to express the gene encoding the desired product, the numerous genetic modifications introduced into CHO cell lines, together with the wide variety of culture media employed, make each experimental configuration essentially unique and difficult to generalize. In fact, the different combinations of genetic engineering strategies and culture conditions significantly influence cell growth kinetics, metabolic fluxes, specific productivity, the formation of catabolites, and inhibitory phenomena</w:t>
      </w:r>
      <w:r w:rsidR="007E6536">
        <w:t xml:space="preserve"> </w:t>
      </w:r>
      <w:r w:rsidR="0056701D">
        <w:t>(Pereira et al., 2018)</w:t>
      </w:r>
      <w:r w:rsidR="007F3D5F">
        <w:t>.</w:t>
      </w:r>
      <w:r>
        <w:t xml:space="preserve"> </w:t>
      </w:r>
      <w:r w:rsidRPr="00463CBB">
        <w:t>Therefore, it is essential to identify the predominant influencing factors and the most suitable relationships to describe their interdependencies.</w:t>
      </w:r>
      <w:r w:rsidR="004E2D3B" w:rsidRPr="004E2D3B">
        <w:t xml:space="preserve"> From a scale-up perspective, a dedicated mathematical model capable of representing these phenomen</w:t>
      </w:r>
      <w:r w:rsidR="004E2D3B">
        <w:t xml:space="preserve">a, </w:t>
      </w:r>
      <w:r w:rsidR="004E2D3B" w:rsidRPr="004E2D3B">
        <w:t>by selecting only the kinetically relevant contributions and neglecting secondary effect</w:t>
      </w:r>
      <w:r w:rsidR="004E2D3B">
        <w:t xml:space="preserve">s, </w:t>
      </w:r>
      <w:r w:rsidR="004E2D3B" w:rsidRPr="004E2D3B">
        <w:t>constitutes a fundamental tool for understanding the physiological requirements of CHO cells, such as oxygen and nutrient uptake, the mechanisms of cell growth, and for optimizing the process to achieve the desired industrial production target.</w:t>
      </w:r>
      <w:r w:rsidR="004E2D3B">
        <w:t xml:space="preserve"> </w:t>
      </w:r>
      <w:r w:rsidR="004E2D3B" w:rsidRPr="004E2D3B">
        <w:t>However, during scale-up, it is equally important to account for system non-</w:t>
      </w:r>
      <w:proofErr w:type="spellStart"/>
      <w:r w:rsidR="004E2D3B" w:rsidRPr="004E2D3B">
        <w:t>idealities</w:t>
      </w:r>
      <w:proofErr w:type="spellEnd"/>
      <w:r w:rsidR="004E2D3B" w:rsidRPr="004E2D3B">
        <w:t xml:space="preserve"> already at the design stage</w:t>
      </w:r>
      <w:r w:rsidR="003820B6">
        <w:t>.</w:t>
      </w:r>
      <w:r w:rsidR="004E2D3B" w:rsidRPr="004E2D3B">
        <w:t xml:space="preserve"> </w:t>
      </w:r>
      <w:r w:rsidR="003820B6" w:rsidRPr="003820B6">
        <w:t xml:space="preserve">These include imperfect mixing, oxygen transfer to the liquid phase, shear stresses induced by mechanical agitation, and the power input regimes involved. </w:t>
      </w:r>
      <w:r w:rsidRPr="00BB27EF">
        <w:t>Establishing</w:t>
      </w:r>
      <w:r w:rsidRPr="00463CBB">
        <w:t xml:space="preserve"> an effective scale-up strategy that systematically incorporates all these factors is therefore essential for reactor optimization</w:t>
      </w:r>
      <w:r w:rsidR="007E6536">
        <w:t xml:space="preserve"> (Xing et al. 2009)</w:t>
      </w:r>
      <w:r w:rsidRPr="00463CBB">
        <w:t>.</w:t>
      </w:r>
      <w:r>
        <w:t xml:space="preserve"> </w:t>
      </w:r>
      <w:r w:rsidRPr="00463CBB">
        <w:t xml:space="preserve">For this reason, this work aims to provide a scale-up </w:t>
      </w:r>
      <w:r>
        <w:t xml:space="preserve">tool </w:t>
      </w:r>
      <w:r w:rsidRPr="00463CBB">
        <w:t xml:space="preserve">for CHO cell bioreactors that integrates </w:t>
      </w:r>
      <w:r w:rsidR="000C2064">
        <w:t xml:space="preserve">mathematical </w:t>
      </w:r>
      <w:r w:rsidRPr="00463CBB">
        <w:t>modelling with the key bioreactor design and scale-up criteria, to optimize operating conditions and ensure process robustness. A case study based on literature data is presented to validate the effectiveness of the proposed approach.</w:t>
      </w:r>
      <w:r>
        <w:t xml:space="preserve"> </w:t>
      </w:r>
    </w:p>
    <w:p w14:paraId="7ECCAADE" w14:textId="3AB0007E" w:rsidR="00BB27EF" w:rsidRPr="00BB27EF" w:rsidRDefault="00BB27EF" w:rsidP="00BB27EF">
      <w:pPr>
        <w:pStyle w:val="CETHeading1"/>
      </w:pPr>
      <w:r>
        <w:t>Materials and methods</w:t>
      </w:r>
    </w:p>
    <w:p w14:paraId="0636B784" w14:textId="13B3C37C" w:rsidR="00453E24" w:rsidRDefault="00BB27EF" w:rsidP="00453E24">
      <w:pPr>
        <w:pStyle w:val="CETheadingx"/>
      </w:pPr>
      <w:r>
        <w:t>Mathematical model</w:t>
      </w:r>
    </w:p>
    <w:p w14:paraId="27A549B4" w14:textId="55729721" w:rsidR="0023028F" w:rsidRPr="0023028F" w:rsidRDefault="0023028F" w:rsidP="0023028F">
      <w:pPr>
        <w:pStyle w:val="CETBodytext"/>
        <w:rPr>
          <w:lang w:eastAsia="en-GB"/>
        </w:rPr>
      </w:pPr>
      <w:r w:rsidRPr="0023028F">
        <w:rPr>
          <w:lang w:eastAsia="en-GB"/>
        </w:rPr>
        <w:t xml:space="preserve">To </w:t>
      </w:r>
      <w:r w:rsidR="007F3D5F">
        <w:rPr>
          <w:lang w:eastAsia="en-GB"/>
        </w:rPr>
        <w:t>determinate</w:t>
      </w:r>
      <w:r w:rsidRPr="0023028F">
        <w:rPr>
          <w:lang w:eastAsia="en-GB"/>
        </w:rPr>
        <w:t xml:space="preserve"> the optimal operating conditions required to achieve the desired target, it is essential to identify and accurately describe the key phenomena governing the system.</w:t>
      </w:r>
      <w:r>
        <w:rPr>
          <w:lang w:eastAsia="en-GB"/>
        </w:rPr>
        <w:t xml:space="preserve"> </w:t>
      </w:r>
      <w:r w:rsidRPr="0023028F">
        <w:rPr>
          <w:lang w:eastAsia="en-GB"/>
        </w:rPr>
        <w:t>The data for the case study are taken from the work of Noh et al. (2016), in which the growth of s</w:t>
      </w:r>
      <w:r w:rsidR="00CA0E8B">
        <w:rPr>
          <w:lang w:eastAsia="en-GB"/>
        </w:rPr>
        <w:t xml:space="preserve">ome </w:t>
      </w:r>
      <w:r w:rsidRPr="0023028F">
        <w:rPr>
          <w:lang w:eastAsia="en-GB"/>
        </w:rPr>
        <w:t>CHO cell lines is analyzed as a function of substrate consumption and catabolite production</w:t>
      </w:r>
      <w:r w:rsidR="00D0559E">
        <w:rPr>
          <w:lang w:eastAsia="en-GB"/>
        </w:rPr>
        <w:t xml:space="preserve"> in a batch configuration</w:t>
      </w:r>
      <w:r w:rsidRPr="0023028F">
        <w:rPr>
          <w:lang w:eastAsia="en-GB"/>
        </w:rPr>
        <w:t>.</w:t>
      </w:r>
      <w:r w:rsidR="00CA0E8B">
        <w:rPr>
          <w:lang w:eastAsia="en-GB"/>
        </w:rPr>
        <w:t xml:space="preserve"> </w:t>
      </w:r>
      <w:r w:rsidRPr="0023028F">
        <w:rPr>
          <w:lang w:eastAsia="en-GB"/>
        </w:rPr>
        <w:t xml:space="preserve">For this reason, the correlated model proposed </w:t>
      </w:r>
      <w:r w:rsidRPr="0023028F">
        <w:rPr>
          <w:lang w:eastAsia="en-GB"/>
        </w:rPr>
        <w:lastRenderedPageBreak/>
        <w:t>in this work for the case study focuses on the consumption of the main substrate</w:t>
      </w:r>
      <w:r w:rsidR="00CA0E8B">
        <w:rPr>
          <w:lang w:eastAsia="en-GB"/>
        </w:rPr>
        <w:t xml:space="preserve">s, </w:t>
      </w:r>
      <w:r w:rsidRPr="0023028F">
        <w:rPr>
          <w:lang w:eastAsia="en-GB"/>
        </w:rPr>
        <w:t>glucose (</w:t>
      </w:r>
      <w:proofErr w:type="spellStart"/>
      <w:r w:rsidRPr="0023028F">
        <w:rPr>
          <w:lang w:eastAsia="en-GB"/>
        </w:rPr>
        <w:t>Glc</w:t>
      </w:r>
      <w:proofErr w:type="spellEnd"/>
      <w:r w:rsidRPr="0023028F">
        <w:rPr>
          <w:lang w:eastAsia="en-GB"/>
        </w:rPr>
        <w:t>) and glutamine (Gln)</w:t>
      </w:r>
      <w:r w:rsidR="00CA0E8B">
        <w:rPr>
          <w:lang w:eastAsia="en-GB"/>
        </w:rPr>
        <w:t xml:space="preserve">, </w:t>
      </w:r>
      <w:r w:rsidRPr="0023028F">
        <w:rPr>
          <w:lang w:eastAsia="en-GB"/>
        </w:rPr>
        <w:t>and on the production of the principal catabolite</w:t>
      </w:r>
      <w:r w:rsidR="00CA0E8B">
        <w:rPr>
          <w:lang w:eastAsia="en-GB"/>
        </w:rPr>
        <w:t xml:space="preserve">s, </w:t>
      </w:r>
      <w:r w:rsidRPr="0023028F">
        <w:rPr>
          <w:lang w:eastAsia="en-GB"/>
        </w:rPr>
        <w:t>lactate (Lac) and ammonia (Amm). These species are involved in the following main metabolic pathways: aerobic glucose consumption (Eq. 1), aerobic glutamine consumption (Eq. 2), and anaerobic glu</w:t>
      </w:r>
      <w:r w:rsidR="00CA0E8B">
        <w:rPr>
          <w:lang w:eastAsia="en-GB"/>
        </w:rPr>
        <w:t>cose</w:t>
      </w:r>
      <w:r w:rsidRPr="0023028F">
        <w:rPr>
          <w:lang w:eastAsia="en-GB"/>
        </w:rPr>
        <w:t xml:space="preserve"> consumption (Eq.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8"/>
        <w:gridCol w:w="439"/>
      </w:tblGrid>
      <w:tr w:rsidR="00A43DA1" w14:paraId="7690E19E" w14:textId="77777777" w:rsidTr="00A43DA1">
        <w:tc>
          <w:tcPr>
            <w:tcW w:w="8338" w:type="dxa"/>
            <w:vAlign w:val="center"/>
          </w:tcPr>
          <w:p w14:paraId="7918FC5C" w14:textId="45C21B6B" w:rsidR="00A43DA1" w:rsidRPr="00A43DA1" w:rsidRDefault="00A43DA1" w:rsidP="00A43DA1">
            <w:pPr>
              <w:pStyle w:val="CETEquation"/>
            </w:pPr>
            <m:oMathPara>
              <m:oMath>
                <m:r>
                  <w:rPr>
                    <w:rFonts w:ascii="Cambria Math" w:hAnsi="Cambria Math" w:cs="Arial"/>
                  </w:rPr>
                  <m:t>Glc+6</m:t>
                </m:r>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r>
                  <w:rPr>
                    <w:rFonts w:ascii="Cambria Math" w:hAnsi="Cambria Math" w:cs="Arial"/>
                  </w:rPr>
                  <m:t xml:space="preserve"> →6C</m:t>
                </m:r>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r>
                  <w:rPr>
                    <w:rFonts w:ascii="Cambria Math" w:hAnsi="Cambria Math" w:cs="Arial"/>
                  </w:rPr>
                  <m:t>+6</m:t>
                </m:r>
                <m:sSub>
                  <m:sSubPr>
                    <m:ctrlPr>
                      <w:rPr>
                        <w:rFonts w:ascii="Cambria Math" w:hAnsi="Cambria Math" w:cs="Arial"/>
                        <w:i/>
                        <w:iCs/>
                      </w:rPr>
                    </m:ctrlPr>
                  </m:sSubPr>
                  <m:e>
                    <m:r>
                      <w:rPr>
                        <w:rFonts w:ascii="Cambria Math" w:hAnsi="Cambria Math" w:cs="Arial"/>
                      </w:rPr>
                      <m:t>H</m:t>
                    </m:r>
                  </m:e>
                  <m:sub>
                    <m:r>
                      <w:rPr>
                        <w:rFonts w:ascii="Cambria Math" w:hAnsi="Cambria Math" w:cs="Arial"/>
                      </w:rPr>
                      <m:t>2</m:t>
                    </m:r>
                  </m:sub>
                </m:sSub>
                <m:r>
                  <w:rPr>
                    <w:rFonts w:ascii="Cambria Math" w:hAnsi="Cambria Math" w:cs="Arial"/>
                  </w:rPr>
                  <m:t>O</m:t>
                </m:r>
              </m:oMath>
            </m:oMathPara>
          </w:p>
        </w:tc>
        <w:tc>
          <w:tcPr>
            <w:tcW w:w="439" w:type="dxa"/>
            <w:vAlign w:val="center"/>
          </w:tcPr>
          <w:p w14:paraId="4E96498F" w14:textId="6EC2E51E" w:rsidR="00A43DA1" w:rsidRPr="00A43DA1" w:rsidRDefault="00A43DA1" w:rsidP="00A43DA1">
            <w:pPr>
              <w:pStyle w:val="CETBodytext"/>
              <w:jc w:val="center"/>
            </w:pPr>
            <w:r>
              <w:t>(1)</w:t>
            </w:r>
          </w:p>
        </w:tc>
      </w:tr>
      <w:tr w:rsidR="00A43DA1" w14:paraId="5EAD0B23" w14:textId="77777777" w:rsidTr="00A43DA1">
        <w:trPr>
          <w:trHeight w:val="381"/>
        </w:trPr>
        <w:tc>
          <w:tcPr>
            <w:tcW w:w="8338" w:type="dxa"/>
            <w:vAlign w:val="center"/>
          </w:tcPr>
          <w:p w14:paraId="74DC54F1" w14:textId="1F0E8DA6" w:rsidR="00A43DA1" w:rsidRPr="00A43DA1" w:rsidRDefault="00A43DA1" w:rsidP="00A43DA1">
            <w:pPr>
              <w:pStyle w:val="CETBodytext"/>
              <w:jc w:val="left"/>
              <w:rPr>
                <w:i/>
                <w:iCs/>
              </w:rPr>
            </w:pPr>
            <m:oMathPara>
              <m:oMath>
                <m:r>
                  <w:rPr>
                    <w:rFonts w:ascii="Cambria Math" w:hAnsi="Cambria Math"/>
                  </w:rPr>
                  <m:t>3Gln+8</m:t>
                </m:r>
                <m:sSub>
                  <m:sSubPr>
                    <m:ctrlPr>
                      <w:rPr>
                        <w:rFonts w:ascii="Cambria Math" w:hAnsi="Cambria Math"/>
                        <w:i/>
                        <w:iCs/>
                      </w:rPr>
                    </m:ctrlPr>
                  </m:sSubPr>
                  <m:e>
                    <m:r>
                      <w:rPr>
                        <w:rFonts w:ascii="Cambria Math" w:hAnsi="Cambria Math"/>
                      </w:rPr>
                      <m:t>O</m:t>
                    </m:r>
                  </m:e>
                  <m:sub>
                    <m:r>
                      <w:rPr>
                        <w:rFonts w:ascii="Cambria Math" w:hAnsi="Cambria Math"/>
                      </w:rPr>
                      <m:t>2</m:t>
                    </m:r>
                  </m:sub>
                </m:sSub>
                <m:r>
                  <w:rPr>
                    <w:rFonts w:ascii="Cambria Math" w:hAnsi="Cambria Math"/>
                  </w:rPr>
                  <m:t>+2</m:t>
                </m:r>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O→7</m:t>
                </m:r>
                <m:sSub>
                  <m:sSubPr>
                    <m:ctrlPr>
                      <w:rPr>
                        <w:rFonts w:ascii="Cambria Math" w:hAnsi="Cambria Math"/>
                        <w:i/>
                        <w:iCs/>
                      </w:rPr>
                    </m:ctrlPr>
                  </m:sSubPr>
                  <m:e>
                    <m:r>
                      <w:rPr>
                        <w:rFonts w:ascii="Cambria Math" w:hAnsi="Cambria Math"/>
                      </w:rPr>
                      <m:t>CO</m:t>
                    </m:r>
                  </m:e>
                  <m:sub>
                    <m:r>
                      <w:rPr>
                        <w:rFonts w:ascii="Cambria Math" w:hAnsi="Cambria Math"/>
                      </w:rPr>
                      <m:t>2</m:t>
                    </m:r>
                  </m:sub>
                </m:sSub>
                <m:r>
                  <w:rPr>
                    <w:rFonts w:ascii="Cambria Math" w:hAnsi="Cambria Math"/>
                  </w:rPr>
                  <m:t>+6Amm+3Lac</m:t>
                </m:r>
              </m:oMath>
            </m:oMathPara>
          </w:p>
        </w:tc>
        <w:tc>
          <w:tcPr>
            <w:tcW w:w="439" w:type="dxa"/>
            <w:vAlign w:val="center"/>
          </w:tcPr>
          <w:p w14:paraId="43B3AAD2" w14:textId="742DC5AB" w:rsidR="00A43DA1" w:rsidRDefault="00A43DA1" w:rsidP="00A43DA1">
            <w:pPr>
              <w:pStyle w:val="CETBodytext"/>
              <w:jc w:val="center"/>
            </w:pPr>
            <w:r>
              <w:t>(2)</w:t>
            </w:r>
          </w:p>
        </w:tc>
      </w:tr>
      <w:tr w:rsidR="00A43DA1" w14:paraId="3DDE76DC" w14:textId="77777777" w:rsidTr="00A43DA1">
        <w:trPr>
          <w:trHeight w:val="414"/>
        </w:trPr>
        <w:tc>
          <w:tcPr>
            <w:tcW w:w="8338" w:type="dxa"/>
            <w:vAlign w:val="center"/>
          </w:tcPr>
          <w:p w14:paraId="7EB5CFE9" w14:textId="2DFC7060" w:rsidR="00A43DA1" w:rsidRDefault="00A43DA1" w:rsidP="00A43DA1">
            <w:pPr>
              <w:pStyle w:val="CETBodytext"/>
            </w:pPr>
            <m:oMathPara>
              <m:oMath>
                <m:r>
                  <w:rPr>
                    <w:rFonts w:ascii="Cambria Math" w:hAnsi="Cambria Math"/>
                  </w:rPr>
                  <m:t>Glc</m:t>
                </m:r>
                <m:r>
                  <m:rPr>
                    <m:sty m:val="p"/>
                  </m:rPr>
                  <w:rPr>
                    <w:rFonts w:ascii="Cambria Math" w:hAnsi="Cambria Math"/>
                  </w:rPr>
                  <m:t xml:space="preserve"> →2</m:t>
                </m:r>
                <m:r>
                  <w:rPr>
                    <w:rFonts w:ascii="Cambria Math" w:hAnsi="Cambria Math"/>
                  </w:rPr>
                  <m:t>Lac</m:t>
                </m:r>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w:rPr>
                    <w:rFonts w:ascii="Cambria Math" w:hAnsi="Cambria Math"/>
                  </w:rPr>
                  <m:t>O</m:t>
                </m:r>
              </m:oMath>
            </m:oMathPara>
          </w:p>
        </w:tc>
        <w:tc>
          <w:tcPr>
            <w:tcW w:w="439" w:type="dxa"/>
            <w:vAlign w:val="center"/>
          </w:tcPr>
          <w:p w14:paraId="1FF6105D" w14:textId="5698ACCF" w:rsidR="00A43DA1" w:rsidRDefault="00A43DA1" w:rsidP="00A43DA1">
            <w:pPr>
              <w:pStyle w:val="CETBodytext"/>
              <w:jc w:val="center"/>
            </w:pPr>
            <w:r>
              <w:t>(3)</w:t>
            </w:r>
          </w:p>
        </w:tc>
      </w:tr>
    </w:tbl>
    <w:p w14:paraId="0281D91F" w14:textId="7BA0CE47" w:rsidR="00A43DA1" w:rsidRPr="00BB27EF" w:rsidRDefault="00A43DA1" w:rsidP="00BB27EF">
      <w:pPr>
        <w:pStyle w:val="CETBodytext"/>
      </w:pPr>
      <w:r>
        <w:t>In a batch system the biomass X growth can be described with the Eq</w:t>
      </w:r>
      <w:r w:rsidR="00255B91">
        <w:t>.</w:t>
      </w:r>
      <w:r>
        <w:t xml:space="preserve"> 4</w:t>
      </w:r>
      <w:r w:rsidR="00D96B0F">
        <w:t>:</w:t>
      </w:r>
    </w:p>
    <w:tbl>
      <w:tblPr>
        <w:tblW w:w="5000" w:type="pct"/>
        <w:tblLook w:val="04A0" w:firstRow="1" w:lastRow="0" w:firstColumn="1" w:lastColumn="0" w:noHBand="0" w:noVBand="1"/>
      </w:tblPr>
      <w:tblGrid>
        <w:gridCol w:w="7982"/>
        <w:gridCol w:w="805"/>
      </w:tblGrid>
      <w:tr w:rsidR="00A43DA1" w:rsidRPr="00B57B36" w14:paraId="31998CEF" w14:textId="77777777" w:rsidTr="00A43DA1">
        <w:tc>
          <w:tcPr>
            <w:tcW w:w="7982" w:type="dxa"/>
            <w:vAlign w:val="center"/>
          </w:tcPr>
          <w:p w14:paraId="4A7336E1" w14:textId="6EE5E89E" w:rsidR="00A43DA1" w:rsidRPr="00255B91" w:rsidRDefault="00000000" w:rsidP="00A43DA1">
            <w:pPr>
              <w:pStyle w:val="CETEquation"/>
            </w:pPr>
            <m:oMathPara>
              <m:oMathParaPr>
                <m:jc m:val="left"/>
              </m:oMathParaPr>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r>
                  <w:rPr>
                    <w:rFonts w:ascii="Cambria Math" w:hAnsi="Cambria Math"/>
                  </w:rPr>
                  <m:t>X                          X</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m:oMathPara>
          </w:p>
        </w:tc>
        <w:tc>
          <w:tcPr>
            <w:tcW w:w="805" w:type="dxa"/>
            <w:vAlign w:val="center"/>
          </w:tcPr>
          <w:p w14:paraId="410D2D8F" w14:textId="04267156" w:rsidR="00A43DA1" w:rsidRPr="00B57B36" w:rsidRDefault="00A43DA1" w:rsidP="00437820">
            <w:pPr>
              <w:pStyle w:val="CETEquation"/>
              <w:jc w:val="right"/>
            </w:pPr>
            <w:r w:rsidRPr="00B57B36">
              <w:t>(</w:t>
            </w:r>
            <w:r>
              <w:t>4</w:t>
            </w:r>
            <w:r w:rsidRPr="00B57B36">
              <w:t>)</w:t>
            </w:r>
          </w:p>
        </w:tc>
      </w:tr>
    </w:tbl>
    <w:p w14:paraId="43FF2008" w14:textId="0301383C" w:rsidR="00A43DA1" w:rsidRDefault="00A43DA1" w:rsidP="00BB27EF">
      <w:pPr>
        <w:pStyle w:val="CETBodytext"/>
      </w:pPr>
      <w:r>
        <w:rPr>
          <w:lang w:val="en-GB"/>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x</m:t>
            </m:r>
          </m:sub>
        </m:sSub>
      </m:oMath>
      <w:r>
        <w:t xml:space="preserve"> is the growth rate of the biomass depending by the three metabolic paths (Eq. 5)</w:t>
      </w:r>
      <w:r w:rsidR="00255B91">
        <w:t xml:space="preserve">, and includes the aerobic contribution </w:t>
      </w:r>
      <m:oMath>
        <m:sSub>
          <m:sSubPr>
            <m:ctrlPr>
              <w:rPr>
                <w:rFonts w:ascii="Cambria Math" w:hAnsi="Cambria Math"/>
                <w:i/>
              </w:rPr>
            </m:ctrlPr>
          </m:sSubPr>
          <m:e>
            <m:r>
              <w:rPr>
                <w:rFonts w:ascii="Cambria Math" w:hAnsi="Cambria Math"/>
              </w:rPr>
              <m:t>μ</m:t>
            </m:r>
          </m:e>
          <m:sub>
            <m:r>
              <w:rPr>
                <w:rFonts w:ascii="Cambria Math" w:hAnsi="Cambria Math"/>
              </w:rPr>
              <m:t>aer</m:t>
            </m:r>
          </m:sub>
        </m:sSub>
      </m:oMath>
      <w:r w:rsidR="00255B91">
        <w:t xml:space="preserve">, the anaerobic contribution </w:t>
      </w:r>
      <m:oMath>
        <m:sSub>
          <m:sSubPr>
            <m:ctrlPr>
              <w:rPr>
                <w:rFonts w:ascii="Cambria Math" w:hAnsi="Cambria Math"/>
                <w:i/>
              </w:rPr>
            </m:ctrlPr>
          </m:sSubPr>
          <m:e>
            <m:r>
              <w:rPr>
                <w:rFonts w:ascii="Cambria Math" w:hAnsi="Cambria Math"/>
              </w:rPr>
              <m:t>μ</m:t>
            </m:r>
          </m:e>
          <m:sub>
            <m:r>
              <w:rPr>
                <w:rFonts w:ascii="Cambria Math" w:hAnsi="Cambria Math"/>
              </w:rPr>
              <m:t>anaer</m:t>
            </m:r>
          </m:sub>
        </m:sSub>
      </m:oMath>
      <w:r w:rsidR="00255B91">
        <w:t xml:space="preserve">, and the inhibition terms due to the presence of the catabolites </w:t>
      </w:r>
      <m:oMath>
        <m:sSub>
          <m:sSubPr>
            <m:ctrlPr>
              <w:rPr>
                <w:rFonts w:ascii="Cambria Math" w:hAnsi="Cambria Math"/>
                <w:i/>
              </w:rPr>
            </m:ctrlPr>
          </m:sSubPr>
          <m:e>
            <m:r>
              <w:rPr>
                <w:rFonts w:ascii="Cambria Math" w:hAnsi="Cambria Math"/>
              </w:rPr>
              <m:t>I</m:t>
            </m:r>
          </m:e>
          <m:sub>
            <m:r>
              <w:rPr>
                <w:rFonts w:ascii="Cambria Math" w:hAnsi="Cambria Math"/>
              </w:rPr>
              <m:t>Lat</m:t>
            </m:r>
          </m:sub>
        </m:sSub>
      </m:oMath>
      <w:r w:rsidR="00255B91">
        <w:t xml:space="preserve"> and </w:t>
      </w:r>
      <m:oMath>
        <m:sSub>
          <m:sSubPr>
            <m:ctrlPr>
              <w:rPr>
                <w:rFonts w:ascii="Cambria Math" w:hAnsi="Cambria Math"/>
                <w:i/>
              </w:rPr>
            </m:ctrlPr>
          </m:sSubPr>
          <m:e>
            <m:r>
              <w:rPr>
                <w:rFonts w:ascii="Cambria Math" w:hAnsi="Cambria Math"/>
              </w:rPr>
              <m:t>I</m:t>
            </m:r>
          </m:e>
          <m:sub>
            <m:r>
              <w:rPr>
                <w:rFonts w:ascii="Cambria Math" w:hAnsi="Cambria Math"/>
              </w:rPr>
              <m:t>amm</m:t>
            </m:r>
          </m:sub>
        </m:sSub>
      </m:oMath>
      <w:r>
        <w:t>.</w:t>
      </w:r>
    </w:p>
    <w:tbl>
      <w:tblPr>
        <w:tblW w:w="5000" w:type="pct"/>
        <w:tblLook w:val="04A0" w:firstRow="1" w:lastRow="0" w:firstColumn="1" w:lastColumn="0" w:noHBand="0" w:noVBand="1"/>
      </w:tblPr>
      <w:tblGrid>
        <w:gridCol w:w="7982"/>
        <w:gridCol w:w="805"/>
      </w:tblGrid>
      <w:tr w:rsidR="00A43DA1" w:rsidRPr="00B57B36" w14:paraId="6302A1E8" w14:textId="77777777" w:rsidTr="00437820">
        <w:tc>
          <w:tcPr>
            <w:tcW w:w="7982" w:type="dxa"/>
            <w:vAlign w:val="center"/>
          </w:tcPr>
          <w:p w14:paraId="5108605E" w14:textId="7A0CE449" w:rsidR="00A43DA1" w:rsidRPr="00255B91" w:rsidRDefault="00000000" w:rsidP="00437820">
            <w:pPr>
              <w:pStyle w:val="CETEquation"/>
            </w:pPr>
            <m:oMathPara>
              <m:oMathParaPr>
                <m:jc m:val="left"/>
              </m:oMathParaPr>
              <m:oMath>
                <m:sSub>
                  <m:sSubPr>
                    <m:ctrlPr>
                      <w:rPr>
                        <w:rFonts w:ascii="Cambria Math" w:hAnsi="Cambria Math"/>
                        <w:i/>
                      </w:rPr>
                    </m:ctrlPr>
                  </m:sSubPr>
                  <m:e>
                    <m:r>
                      <w:rPr>
                        <w:rFonts w:ascii="Cambria Math" w:hAnsi="Cambria Math"/>
                      </w:rPr>
                      <m:t>μ</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max</m:t>
                    </m:r>
                  </m:sub>
                </m:sSub>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aer</m:t>
                        </m:r>
                      </m:sub>
                    </m:sSub>
                    <m:sSub>
                      <m:sSubPr>
                        <m:ctrlPr>
                          <w:rPr>
                            <w:rFonts w:ascii="Cambria Math" w:hAnsi="Cambria Math"/>
                            <w:i/>
                          </w:rPr>
                        </m:ctrlPr>
                      </m:sSubPr>
                      <m:e>
                        <m:r>
                          <w:rPr>
                            <w:rFonts w:ascii="Cambria Math" w:hAnsi="Cambria Math"/>
                          </w:rPr>
                          <m:t>μ</m:t>
                        </m:r>
                      </m:e>
                      <m:sub>
                        <m:r>
                          <w:rPr>
                            <w:rFonts w:ascii="Cambria Math" w:hAnsi="Cambria Math"/>
                          </w:rPr>
                          <m:t>aer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anaer</m:t>
                        </m:r>
                      </m:sub>
                    </m:sSub>
                    <m:sSub>
                      <m:sSubPr>
                        <m:ctrlPr>
                          <w:rPr>
                            <w:rFonts w:ascii="Cambria Math" w:hAnsi="Cambria Math"/>
                            <w:i/>
                          </w:rPr>
                        </m:ctrlPr>
                      </m:sSubPr>
                      <m:e>
                        <m:r>
                          <w:rPr>
                            <w:rFonts w:ascii="Cambria Math" w:hAnsi="Cambria Math"/>
                          </w:rPr>
                          <m:t>μ</m:t>
                        </m:r>
                      </m:e>
                      <m:sub>
                        <m:r>
                          <w:rPr>
                            <w:rFonts w:ascii="Cambria Math" w:hAnsi="Cambria Math"/>
                          </w:rPr>
                          <m:t>anaer</m:t>
                        </m:r>
                      </m:sub>
                    </m:sSub>
                  </m:e>
                </m:d>
                <m:sSub>
                  <m:sSubPr>
                    <m:ctrlPr>
                      <w:rPr>
                        <w:rFonts w:ascii="Cambria Math" w:hAnsi="Cambria Math"/>
                        <w:i/>
                      </w:rPr>
                    </m:ctrlPr>
                  </m:sSubPr>
                  <m:e>
                    <m:r>
                      <w:rPr>
                        <w:rFonts w:ascii="Cambria Math" w:hAnsi="Cambria Math"/>
                      </w:rPr>
                      <m:t>I</m:t>
                    </m:r>
                  </m:e>
                  <m:sub>
                    <m:r>
                      <w:rPr>
                        <w:rFonts w:ascii="Cambria Math" w:hAnsi="Cambria Math"/>
                      </w:rPr>
                      <m:t>Lat</m:t>
                    </m:r>
                  </m:sub>
                </m:sSub>
                <m:sSub>
                  <m:sSubPr>
                    <m:ctrlPr>
                      <w:rPr>
                        <w:rFonts w:ascii="Cambria Math" w:hAnsi="Cambria Math"/>
                        <w:i/>
                      </w:rPr>
                    </m:ctrlPr>
                  </m:sSubPr>
                  <m:e>
                    <m:r>
                      <w:rPr>
                        <w:rFonts w:ascii="Cambria Math" w:hAnsi="Cambria Math"/>
                      </w:rPr>
                      <m:t>I</m:t>
                    </m:r>
                  </m:e>
                  <m:sub>
                    <m:r>
                      <w:rPr>
                        <w:rFonts w:ascii="Cambria Math" w:hAnsi="Cambria Math"/>
                      </w:rPr>
                      <m:t>amm</m:t>
                    </m:r>
                  </m:sub>
                </m:sSub>
                <m:r>
                  <w:rPr>
                    <w:rFonts w:ascii="Cambria Math" w:hAnsi="Cambria Math"/>
                  </w:rPr>
                  <m:t xml:space="preserve">                                             with   </m:t>
                </m:r>
                <m:sSub>
                  <m:sSubPr>
                    <m:ctrlPr>
                      <w:rPr>
                        <w:rFonts w:ascii="Cambria Math" w:hAnsi="Cambria Math"/>
                        <w:i/>
                      </w:rPr>
                    </m:ctrlPr>
                  </m:sSubPr>
                  <m:e>
                    <m:r>
                      <w:rPr>
                        <w:rFonts w:ascii="Cambria Math" w:hAnsi="Cambria Math"/>
                      </w:rPr>
                      <m:t>γ</m:t>
                    </m:r>
                  </m:e>
                  <m:sub>
                    <m:r>
                      <w:rPr>
                        <w:rFonts w:ascii="Cambria Math" w:hAnsi="Cambria Math"/>
                      </w:rPr>
                      <m:t>aer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anaer</m:t>
                    </m:r>
                  </m:sub>
                </m:sSub>
                <m:r>
                  <w:rPr>
                    <w:rFonts w:ascii="Cambria Math" w:hAnsi="Cambria Math"/>
                  </w:rPr>
                  <m:t>=1</m:t>
                </m:r>
              </m:oMath>
            </m:oMathPara>
          </w:p>
        </w:tc>
        <w:tc>
          <w:tcPr>
            <w:tcW w:w="805" w:type="dxa"/>
            <w:vAlign w:val="center"/>
          </w:tcPr>
          <w:p w14:paraId="4965D755" w14:textId="33FD0860" w:rsidR="00A43DA1" w:rsidRPr="00B57B36" w:rsidRDefault="00A43DA1" w:rsidP="00437820">
            <w:pPr>
              <w:pStyle w:val="CETEquation"/>
              <w:jc w:val="right"/>
            </w:pPr>
            <w:r w:rsidRPr="00B57B36">
              <w:t>(</w:t>
            </w:r>
            <w:r>
              <w:t>5</w:t>
            </w:r>
            <w:r w:rsidRPr="00B57B36">
              <w:t>)</w:t>
            </w:r>
          </w:p>
        </w:tc>
      </w:tr>
    </w:tbl>
    <w:p w14:paraId="05719C98" w14:textId="0F50A02D" w:rsidR="00255B91" w:rsidRDefault="00000000" w:rsidP="00255B91">
      <w:pPr>
        <w:pStyle w:val="CETBodytext"/>
      </w:pPr>
      <m:oMath>
        <m:sSub>
          <m:sSubPr>
            <m:ctrlPr>
              <w:rPr>
                <w:rFonts w:ascii="Cambria Math" w:hAnsi="Cambria Math"/>
                <w:i/>
              </w:rPr>
            </m:ctrlPr>
          </m:sSubPr>
          <m:e>
            <m:r>
              <w:rPr>
                <w:rFonts w:ascii="Cambria Math" w:hAnsi="Cambria Math"/>
              </w:rPr>
              <m:t>μ</m:t>
            </m:r>
          </m:e>
          <m:sub>
            <m:r>
              <w:rPr>
                <w:rFonts w:ascii="Cambria Math" w:hAnsi="Cambria Math"/>
              </w:rPr>
              <m:t>aer</m:t>
            </m:r>
          </m:sub>
        </m:sSub>
      </m:oMath>
      <w:r w:rsidR="00255B91">
        <w:t xml:space="preserve"> is dependent by the consumption of both </w:t>
      </w:r>
      <w:proofErr w:type="spellStart"/>
      <w:r w:rsidR="00255B91">
        <w:t>Glc</w:t>
      </w:r>
      <w:proofErr w:type="spellEnd"/>
      <w:r w:rsidR="00255B91">
        <w:t xml:space="preserve"> and Gln (Eq. 6).</w:t>
      </w:r>
    </w:p>
    <w:tbl>
      <w:tblPr>
        <w:tblW w:w="5000" w:type="pct"/>
        <w:tblLook w:val="04A0" w:firstRow="1" w:lastRow="0" w:firstColumn="1" w:lastColumn="0" w:noHBand="0" w:noVBand="1"/>
      </w:tblPr>
      <w:tblGrid>
        <w:gridCol w:w="7982"/>
        <w:gridCol w:w="805"/>
      </w:tblGrid>
      <w:tr w:rsidR="00255B91" w:rsidRPr="00B57B36" w14:paraId="11ADD1EB" w14:textId="77777777" w:rsidTr="00437820">
        <w:tc>
          <w:tcPr>
            <w:tcW w:w="7982" w:type="dxa"/>
            <w:vAlign w:val="center"/>
          </w:tcPr>
          <w:p w14:paraId="374B46E0" w14:textId="6314A5C5" w:rsidR="00255B91" w:rsidRPr="00A43DA1" w:rsidRDefault="00000000" w:rsidP="00255B91">
            <w:pPr>
              <w:pStyle w:val="CETEquation"/>
            </w:pPr>
            <m:oMath>
              <m:sSub>
                <m:sSubPr>
                  <m:ctrlPr>
                    <w:rPr>
                      <w:rFonts w:ascii="Cambria Math" w:hAnsi="Cambria Math"/>
                      <w:i/>
                    </w:rPr>
                  </m:ctrlPr>
                </m:sSubPr>
                <m:e>
                  <m:r>
                    <w:rPr>
                      <w:rFonts w:ascii="Cambria Math" w:hAnsi="Cambria Math"/>
                    </w:rPr>
                    <m:t>μ</m:t>
                  </m:r>
                </m:e>
                <m:sub>
                  <m:r>
                    <w:rPr>
                      <w:rFonts w:ascii="Cambria Math" w:hAnsi="Cambria Math"/>
                    </w:rPr>
                    <m:t>aer</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Glc</m:t>
                  </m:r>
                </m:sub>
              </m:sSub>
              <m:sSub>
                <m:sSubPr>
                  <m:ctrlPr>
                    <w:rPr>
                      <w:rFonts w:ascii="Cambria Math" w:hAnsi="Cambria Math"/>
                      <w:i/>
                    </w:rPr>
                  </m:ctrlPr>
                </m:sSubPr>
                <m:e>
                  <m:r>
                    <w:rPr>
                      <w:rFonts w:ascii="Cambria Math" w:hAnsi="Cambria Math"/>
                    </w:rPr>
                    <m:t>μ</m:t>
                  </m:r>
                </m:e>
                <m:sub>
                  <m:r>
                    <w:rPr>
                      <w:rFonts w:ascii="Cambria Math" w:hAnsi="Cambria Math"/>
                    </w:rPr>
                    <m:t>Glc</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Gln</m:t>
                  </m:r>
                </m:sub>
              </m:sSub>
              <m:sSub>
                <m:sSubPr>
                  <m:ctrlPr>
                    <w:rPr>
                      <w:rFonts w:ascii="Cambria Math" w:hAnsi="Cambria Math"/>
                      <w:i/>
                    </w:rPr>
                  </m:ctrlPr>
                </m:sSubPr>
                <m:e>
                  <m:r>
                    <w:rPr>
                      <w:rFonts w:ascii="Cambria Math" w:hAnsi="Cambria Math"/>
                    </w:rPr>
                    <m:t>μ</m:t>
                  </m:r>
                </m:e>
                <m:sub>
                  <m:r>
                    <w:rPr>
                      <w:rFonts w:ascii="Cambria Math" w:hAnsi="Cambria Math"/>
                    </w:rPr>
                    <m:t>Gln</m:t>
                  </m:r>
                </m:sub>
              </m:sSub>
            </m:oMath>
            <w:r w:rsidR="00255B91">
              <w:t xml:space="preserve">                                        </w:t>
            </w:r>
            <w:r w:rsidR="00D0559E">
              <w:t xml:space="preserve">                       </w:t>
            </w:r>
            <w:r w:rsidR="00255B91">
              <w:t xml:space="preserve">  </w:t>
            </w:r>
            <m:oMath>
              <m:r>
                <w:rPr>
                  <w:rFonts w:ascii="Cambria Math" w:hAnsi="Cambria Math"/>
                </w:rPr>
                <m:t xml:space="preserve">with   </m:t>
              </m:r>
              <m:sSub>
                <m:sSubPr>
                  <m:ctrlPr>
                    <w:rPr>
                      <w:rFonts w:ascii="Cambria Math" w:hAnsi="Cambria Math"/>
                      <w:i/>
                    </w:rPr>
                  </m:ctrlPr>
                </m:sSubPr>
                <m:e>
                  <m:r>
                    <w:rPr>
                      <w:rFonts w:ascii="Cambria Math" w:hAnsi="Cambria Math"/>
                    </w:rPr>
                    <m:t>γ</m:t>
                  </m:r>
                </m:e>
                <m:sub>
                  <m:r>
                    <w:rPr>
                      <w:rFonts w:ascii="Cambria Math" w:hAnsi="Cambria Math"/>
                    </w:rPr>
                    <m:t>Gln</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Glc</m:t>
                  </m:r>
                </m:sub>
              </m:sSub>
              <m:r>
                <w:rPr>
                  <w:rFonts w:ascii="Cambria Math" w:hAnsi="Cambria Math"/>
                </w:rPr>
                <m:t>=1</m:t>
              </m:r>
            </m:oMath>
          </w:p>
        </w:tc>
        <w:tc>
          <w:tcPr>
            <w:tcW w:w="805" w:type="dxa"/>
            <w:vAlign w:val="center"/>
          </w:tcPr>
          <w:p w14:paraId="5DEABEFD" w14:textId="284D40F1" w:rsidR="00255B91" w:rsidRPr="00B57B36" w:rsidRDefault="00255B91" w:rsidP="00437820">
            <w:pPr>
              <w:pStyle w:val="CETEquation"/>
              <w:jc w:val="right"/>
            </w:pPr>
            <w:r w:rsidRPr="00B57B36">
              <w:t>(</w:t>
            </w:r>
            <w:r>
              <w:t>6</w:t>
            </w:r>
            <w:r w:rsidRPr="00B57B36">
              <w:t>)</w:t>
            </w:r>
          </w:p>
        </w:tc>
      </w:tr>
    </w:tbl>
    <w:p w14:paraId="422AC968" w14:textId="6244B1F2" w:rsidR="00255B91" w:rsidRDefault="00000000" w:rsidP="00255B91">
      <w:pPr>
        <w:pStyle w:val="CETBodytext"/>
      </w:pPr>
      <m:oMath>
        <m:sSub>
          <m:sSubPr>
            <m:ctrlPr>
              <w:rPr>
                <w:rFonts w:ascii="Cambria Math" w:hAnsi="Cambria Math"/>
                <w:i/>
              </w:rPr>
            </m:ctrlPr>
          </m:sSubPr>
          <m:e>
            <m:r>
              <w:rPr>
                <w:rFonts w:ascii="Cambria Math" w:hAnsi="Cambria Math"/>
              </w:rPr>
              <m:t>μ</m:t>
            </m:r>
          </m:e>
          <m:sub>
            <m:r>
              <w:rPr>
                <w:rFonts w:ascii="Cambria Math" w:hAnsi="Cambria Math"/>
              </w:rPr>
              <m:t>Glc</m:t>
            </m:r>
          </m:sub>
        </m:sSub>
      </m:oMath>
      <w:r w:rsidR="00255B91">
        <w:t xml:space="preserve"> and </w:t>
      </w:r>
      <m:oMath>
        <m:sSub>
          <m:sSubPr>
            <m:ctrlPr>
              <w:rPr>
                <w:rFonts w:ascii="Cambria Math" w:hAnsi="Cambria Math"/>
                <w:i/>
              </w:rPr>
            </m:ctrlPr>
          </m:sSubPr>
          <m:e>
            <m:r>
              <w:rPr>
                <w:rFonts w:ascii="Cambria Math" w:hAnsi="Cambria Math"/>
              </w:rPr>
              <m:t>μ</m:t>
            </m:r>
          </m:e>
          <m:sub>
            <m:r>
              <w:rPr>
                <w:rFonts w:ascii="Cambria Math" w:hAnsi="Cambria Math"/>
              </w:rPr>
              <m:t>Gln</m:t>
            </m:r>
          </m:sub>
        </m:sSub>
      </m:oMath>
      <w:r w:rsidR="00255B91">
        <w:t xml:space="preserve"> </w:t>
      </w:r>
      <w:r w:rsidR="00255B91" w:rsidRPr="00255B91">
        <w:t xml:space="preserve">are described by Monod-type kinetics and are coupled with oxygen consumption </w:t>
      </w:r>
      <w:r w:rsidR="00255B91">
        <w:t>(Eq. 7).</w:t>
      </w:r>
    </w:p>
    <w:tbl>
      <w:tblPr>
        <w:tblW w:w="5000" w:type="pct"/>
        <w:tblLook w:val="04A0" w:firstRow="1" w:lastRow="0" w:firstColumn="1" w:lastColumn="0" w:noHBand="0" w:noVBand="1"/>
      </w:tblPr>
      <w:tblGrid>
        <w:gridCol w:w="7982"/>
        <w:gridCol w:w="805"/>
      </w:tblGrid>
      <w:tr w:rsidR="00255B91" w:rsidRPr="00B57B36" w14:paraId="509C5F97" w14:textId="77777777" w:rsidTr="00437820">
        <w:tc>
          <w:tcPr>
            <w:tcW w:w="7982" w:type="dxa"/>
            <w:vAlign w:val="center"/>
          </w:tcPr>
          <w:p w14:paraId="4D77D9BE" w14:textId="7B381658" w:rsidR="00255B91" w:rsidRPr="00255B91" w:rsidRDefault="00000000" w:rsidP="00255B91">
            <w:pPr>
              <w:pStyle w:val="CETEquation"/>
            </w:pPr>
            <m:oMathPara>
              <m:oMathParaPr>
                <m:jc m:val="left"/>
              </m:oMathParaPr>
              <m:oMath>
                <m:sSub>
                  <m:sSubPr>
                    <m:ctrlPr>
                      <w:rPr>
                        <w:rFonts w:ascii="Cambria Math" w:hAnsi="Cambria Math"/>
                      </w:rPr>
                    </m:ctrlPr>
                  </m:sSubPr>
                  <m:e>
                    <m:r>
                      <w:rPr>
                        <w:rFonts w:ascii="Cambria Math" w:hAnsi="Cambria Math"/>
                      </w:rPr>
                      <m:t>μ</m:t>
                    </m:r>
                  </m:e>
                  <m:sub>
                    <m:r>
                      <w:rPr>
                        <w:rFonts w:ascii="Cambria Math" w:hAnsi="Cambria Math"/>
                      </w:rPr>
                      <m:t>i</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e>
                </m:d>
              </m:oMath>
            </m:oMathPara>
          </w:p>
        </w:tc>
        <w:tc>
          <w:tcPr>
            <w:tcW w:w="805" w:type="dxa"/>
            <w:vAlign w:val="center"/>
          </w:tcPr>
          <w:p w14:paraId="09E9277B" w14:textId="7F6CA00C" w:rsidR="00255B91" w:rsidRPr="00B57B36" w:rsidRDefault="00255B91" w:rsidP="00437820">
            <w:pPr>
              <w:pStyle w:val="CETEquation"/>
              <w:jc w:val="right"/>
            </w:pPr>
            <w:r w:rsidRPr="00B57B36">
              <w:t>(</w:t>
            </w:r>
            <w:r>
              <w:t>7</w:t>
            </w:r>
            <w:r w:rsidRPr="00B57B36">
              <w:t>)</w:t>
            </w:r>
          </w:p>
        </w:tc>
      </w:tr>
    </w:tbl>
    <w:p w14:paraId="3310D362" w14:textId="54057BBB" w:rsidR="00255B91" w:rsidRDefault="00000000" w:rsidP="00255B91">
      <w:pPr>
        <w:pStyle w:val="CETBodytext"/>
      </w:pPr>
      <m:oMath>
        <m:sSub>
          <m:sSubPr>
            <m:ctrlPr>
              <w:rPr>
                <w:rFonts w:ascii="Cambria Math" w:hAnsi="Cambria Math"/>
                <w:i/>
              </w:rPr>
            </m:ctrlPr>
          </m:sSubPr>
          <m:e>
            <m:r>
              <w:rPr>
                <w:rFonts w:ascii="Cambria Math" w:hAnsi="Cambria Math"/>
              </w:rPr>
              <m:t>μ</m:t>
            </m:r>
          </m:e>
          <m:sub>
            <m:r>
              <w:rPr>
                <w:rFonts w:ascii="Cambria Math" w:hAnsi="Cambria Math"/>
              </w:rPr>
              <m:t>anaer</m:t>
            </m:r>
          </m:sub>
        </m:sSub>
      </m:oMath>
      <w:r w:rsidR="00255B91">
        <w:t xml:space="preserve"> is dependent by the </w:t>
      </w:r>
      <w:proofErr w:type="spellStart"/>
      <w:r w:rsidR="00255B91">
        <w:t>Glc</w:t>
      </w:r>
      <w:proofErr w:type="spellEnd"/>
      <w:r w:rsidR="00255B91">
        <w:t xml:space="preserve"> consumption and inhibited by the oxygen as follow (Eq. 8):</w:t>
      </w:r>
    </w:p>
    <w:tbl>
      <w:tblPr>
        <w:tblW w:w="5000" w:type="pct"/>
        <w:tblLook w:val="04A0" w:firstRow="1" w:lastRow="0" w:firstColumn="1" w:lastColumn="0" w:noHBand="0" w:noVBand="1"/>
      </w:tblPr>
      <w:tblGrid>
        <w:gridCol w:w="7982"/>
        <w:gridCol w:w="805"/>
      </w:tblGrid>
      <w:tr w:rsidR="00255B91" w:rsidRPr="00B57B36" w14:paraId="23B1C75A" w14:textId="77777777" w:rsidTr="00437820">
        <w:tc>
          <w:tcPr>
            <w:tcW w:w="7982" w:type="dxa"/>
            <w:vAlign w:val="center"/>
          </w:tcPr>
          <w:p w14:paraId="67161C1C" w14:textId="2A17041B" w:rsidR="00255B91" w:rsidRPr="00255B91" w:rsidRDefault="00000000" w:rsidP="00437820">
            <w:pPr>
              <w:pStyle w:val="CETEquation"/>
            </w:pPr>
            <m:oMathPara>
              <m:oMathParaPr>
                <m:jc m:val="left"/>
              </m:oMathParaPr>
              <m:oMath>
                <m:sSub>
                  <m:sSubPr>
                    <m:ctrlPr>
                      <w:rPr>
                        <w:rFonts w:ascii="Cambria Math" w:hAnsi="Cambria Math"/>
                      </w:rPr>
                    </m:ctrlPr>
                  </m:sSubPr>
                  <m:e>
                    <m:r>
                      <w:rPr>
                        <w:rFonts w:ascii="Cambria Math" w:hAnsi="Cambria Math"/>
                      </w:rPr>
                      <m:t>μ</m:t>
                    </m:r>
                  </m:e>
                  <m:sub>
                    <m:r>
                      <w:rPr>
                        <w:rFonts w:ascii="Cambria Math" w:hAnsi="Cambria Math"/>
                      </w:rPr>
                      <m:t>anaer</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Glc</m:t>
                            </m:r>
                          </m:sub>
                        </m:sSub>
                      </m:num>
                      <m:den>
                        <m:sSub>
                          <m:sSubPr>
                            <m:ctrlPr>
                              <w:rPr>
                                <w:rFonts w:ascii="Cambria Math" w:hAnsi="Cambria Math"/>
                              </w:rPr>
                            </m:ctrlPr>
                          </m:sSubPr>
                          <m:e>
                            <m:r>
                              <w:rPr>
                                <w:rFonts w:ascii="Cambria Math" w:hAnsi="Cambria Math"/>
                              </w:rPr>
                              <m:t>K</m:t>
                            </m:r>
                          </m:e>
                          <m:sub>
                            <m:r>
                              <w:rPr>
                                <w:rFonts w:ascii="Cambria Math" w:hAnsi="Cambria Math"/>
                              </w:rPr>
                              <m:t>anaer</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Glc</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2</m:t>
                                </m:r>
                              </m:sup>
                            </m:sSubSup>
                          </m:num>
                          <m:den>
                            <m:sSub>
                              <m:sSubPr>
                                <m:ctrlPr>
                                  <w:rPr>
                                    <w:rFonts w:ascii="Cambria Math" w:hAnsi="Cambria Math"/>
                                    <w:i/>
                                  </w:rPr>
                                </m:ctrlPr>
                              </m:sSubPr>
                              <m:e>
                                <m:r>
                                  <w:rPr>
                                    <w:rFonts w:ascii="Cambria Math" w:hAnsi="Cambria Math"/>
                                  </w:rPr>
                                  <m:t>K</m:t>
                                </m:r>
                              </m:e>
                              <m:sub>
                                <m:r>
                                  <w:rPr>
                                    <w:rFonts w:ascii="Cambria Math" w:hAnsi="Cambria Math"/>
                                  </w:rPr>
                                  <m:t>I</m:t>
                                </m:r>
                              </m:sub>
                            </m:sSub>
                          </m:den>
                        </m:f>
                      </m:den>
                    </m:f>
                  </m:e>
                </m:d>
              </m:oMath>
            </m:oMathPara>
          </w:p>
        </w:tc>
        <w:tc>
          <w:tcPr>
            <w:tcW w:w="805" w:type="dxa"/>
            <w:vAlign w:val="center"/>
          </w:tcPr>
          <w:p w14:paraId="564156F5" w14:textId="73B6A9EF" w:rsidR="00255B91" w:rsidRPr="00B57B36" w:rsidRDefault="00255B91" w:rsidP="00437820">
            <w:pPr>
              <w:pStyle w:val="CETEquation"/>
              <w:jc w:val="right"/>
            </w:pPr>
            <w:r w:rsidRPr="00B57B36">
              <w:t>(</w:t>
            </w:r>
            <w:r>
              <w:t>8</w:t>
            </w:r>
            <w:r w:rsidRPr="00B57B36">
              <w:t>)</w:t>
            </w:r>
          </w:p>
        </w:tc>
      </w:tr>
    </w:tbl>
    <w:p w14:paraId="12F53FA6" w14:textId="639D899C" w:rsidR="00255B91" w:rsidRDefault="00255B91" w:rsidP="00255B91">
      <w:pPr>
        <w:pStyle w:val="CETBodytext"/>
      </w:pPr>
      <w:r>
        <w:t xml:space="preserve">Finally, the </w:t>
      </w:r>
      <w:r w:rsidR="00192D98">
        <w:t xml:space="preserve">growth </w:t>
      </w:r>
      <w:r>
        <w:t>inhibition terms of Lac and Amm are represented by Eq. 9.</w:t>
      </w:r>
    </w:p>
    <w:tbl>
      <w:tblPr>
        <w:tblW w:w="5000" w:type="pct"/>
        <w:tblLook w:val="04A0" w:firstRow="1" w:lastRow="0" w:firstColumn="1" w:lastColumn="0" w:noHBand="0" w:noVBand="1"/>
      </w:tblPr>
      <w:tblGrid>
        <w:gridCol w:w="7982"/>
        <w:gridCol w:w="805"/>
      </w:tblGrid>
      <w:tr w:rsidR="00255B91" w:rsidRPr="00B57B36" w14:paraId="074F560A" w14:textId="77777777" w:rsidTr="00437820">
        <w:tc>
          <w:tcPr>
            <w:tcW w:w="7982" w:type="dxa"/>
            <w:vAlign w:val="center"/>
          </w:tcPr>
          <w:p w14:paraId="4F7E45B5" w14:textId="6A50586C" w:rsidR="00255B91" w:rsidRPr="00192D98" w:rsidRDefault="00000000" w:rsidP="00192D98">
            <w:pPr>
              <w:pStyle w:val="CETEquation"/>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 xml:space="preserve">I,i </m:t>
                        </m:r>
                      </m:sub>
                    </m:sSub>
                  </m:num>
                  <m:den>
                    <m:sSub>
                      <m:sSubPr>
                        <m:ctrlPr>
                          <w:rPr>
                            <w:rFonts w:ascii="Cambria Math" w:hAnsi="Cambria Math"/>
                            <w:i/>
                          </w:rPr>
                        </m:ctrlPr>
                      </m:sSubPr>
                      <m:e>
                        <m:r>
                          <w:rPr>
                            <w:rFonts w:ascii="Cambria Math" w:hAnsi="Cambria Math"/>
                          </w:rPr>
                          <m:t>K</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den>
                </m:f>
              </m:oMath>
            </m:oMathPara>
          </w:p>
        </w:tc>
        <w:tc>
          <w:tcPr>
            <w:tcW w:w="805" w:type="dxa"/>
            <w:vAlign w:val="center"/>
          </w:tcPr>
          <w:p w14:paraId="3A45154F" w14:textId="50469F48" w:rsidR="00255B91" w:rsidRPr="00B57B36" w:rsidRDefault="00255B91" w:rsidP="00437820">
            <w:pPr>
              <w:pStyle w:val="CETEquation"/>
              <w:jc w:val="right"/>
            </w:pPr>
            <w:r w:rsidRPr="00B57B36">
              <w:t>(</w:t>
            </w:r>
            <w:r>
              <w:t>9</w:t>
            </w:r>
            <w:r w:rsidRPr="00B57B36">
              <w:t>)</w:t>
            </w:r>
          </w:p>
        </w:tc>
      </w:tr>
    </w:tbl>
    <w:p w14:paraId="26E8539A" w14:textId="5A0601DC" w:rsidR="00255B91" w:rsidRDefault="00D96B0F" w:rsidP="00255B91">
      <w:pPr>
        <w:pStyle w:val="CETBodytext"/>
      </w:pPr>
      <w:r>
        <w:t>Regarding t</w:t>
      </w:r>
      <w:r w:rsidR="00D651E8">
        <w:t>he consumption rate</w:t>
      </w:r>
      <w:r>
        <w:t>s</w:t>
      </w:r>
      <w:r w:rsidR="00D651E8">
        <w:t xml:space="preserve"> of the substrate </w:t>
      </w:r>
      <w:proofErr w:type="spellStart"/>
      <w:r w:rsidR="00D651E8">
        <w:t>Glc</w:t>
      </w:r>
      <w:proofErr w:type="spellEnd"/>
      <w:r w:rsidR="00D651E8">
        <w:t xml:space="preserve"> and Gln</w:t>
      </w:r>
      <w:r>
        <w:t>, they</w:t>
      </w:r>
      <w:r w:rsidR="00D651E8">
        <w:t xml:space="preserve"> are expressed by the Eq. 10 and Eq. 11</w:t>
      </w:r>
      <w:r>
        <w:t>,</w:t>
      </w:r>
      <w:r w:rsidR="00D651E8">
        <w:t xml:space="preserve"> respectively.</w:t>
      </w:r>
    </w:p>
    <w:tbl>
      <w:tblPr>
        <w:tblW w:w="5000" w:type="pct"/>
        <w:tblLook w:val="04A0" w:firstRow="1" w:lastRow="0" w:firstColumn="1" w:lastColumn="0" w:noHBand="0" w:noVBand="1"/>
      </w:tblPr>
      <w:tblGrid>
        <w:gridCol w:w="7982"/>
        <w:gridCol w:w="805"/>
      </w:tblGrid>
      <w:tr w:rsidR="00D651E8" w:rsidRPr="00B57B36" w14:paraId="3512BB4B" w14:textId="77777777" w:rsidTr="00437820">
        <w:tc>
          <w:tcPr>
            <w:tcW w:w="7982" w:type="dxa"/>
            <w:vAlign w:val="center"/>
          </w:tcPr>
          <w:p w14:paraId="5AFDCF04" w14:textId="52B70B83" w:rsidR="00D651E8" w:rsidRPr="00D651E8" w:rsidRDefault="00000000" w:rsidP="00437820">
            <w:pPr>
              <w:pStyle w:val="CETEquation"/>
              <w:rPr>
                <w:rFonts w:ascii="Cambria Math" w:hAnsi="Cambria Math"/>
                <w:i/>
              </w:rPr>
            </w:pPr>
            <m:oMathPara>
              <m:oMathParaPr>
                <m:jc m:val="left"/>
              </m:oMathParaP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Glc</m:t>
                        </m:r>
                      </m:sub>
                    </m:sSub>
                  </m:num>
                  <m:den>
                    <m:r>
                      <w:rPr>
                        <w:rFonts w:ascii="Cambria Math" w:hAnsi="Cambria Math"/>
                      </w:rPr>
                      <m:t>dt</m:t>
                    </m:r>
                  </m:den>
                </m:f>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max</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Glc</m:t>
                            </m:r>
                          </m:sub>
                        </m:sSub>
                      </m:den>
                    </m:f>
                    <m:sSub>
                      <m:sSubPr>
                        <m:ctrlPr>
                          <w:rPr>
                            <w:rFonts w:ascii="Cambria Math" w:hAnsi="Cambria Math"/>
                            <w:i/>
                          </w:rPr>
                        </m:ctrlPr>
                      </m:sSubPr>
                      <m:e>
                        <m:r>
                          <w:rPr>
                            <w:rFonts w:ascii="Cambria Math" w:hAnsi="Cambria Math"/>
                          </w:rPr>
                          <m:t>γ</m:t>
                        </m:r>
                      </m:e>
                      <m:sub>
                        <m:r>
                          <w:rPr>
                            <w:rFonts w:ascii="Cambria Math" w:hAnsi="Cambria Math"/>
                          </w:rPr>
                          <m:t>aer</m:t>
                        </m:r>
                      </m:sub>
                    </m:sSub>
                    <m:sSub>
                      <m:sSubPr>
                        <m:ctrlPr>
                          <w:rPr>
                            <w:rFonts w:ascii="Cambria Math" w:hAnsi="Cambria Math"/>
                            <w:i/>
                          </w:rPr>
                        </m:ctrlPr>
                      </m:sSubPr>
                      <m:e>
                        <m:r>
                          <w:rPr>
                            <w:rFonts w:ascii="Cambria Math" w:hAnsi="Cambria Math"/>
                          </w:rPr>
                          <m:t>γ</m:t>
                        </m:r>
                      </m:e>
                      <m:sub>
                        <m:r>
                          <w:rPr>
                            <w:rFonts w:ascii="Cambria Math" w:hAnsi="Cambria Math"/>
                          </w:rPr>
                          <m:t>Glc</m:t>
                        </m:r>
                      </m:sub>
                    </m:sSub>
                    <m:sSub>
                      <m:sSubPr>
                        <m:ctrlPr>
                          <w:rPr>
                            <w:rFonts w:ascii="Cambria Math" w:hAnsi="Cambria Math"/>
                            <w:i/>
                          </w:rPr>
                        </m:ctrlPr>
                      </m:sSubPr>
                      <m:e>
                        <m:r>
                          <w:rPr>
                            <w:rFonts w:ascii="Cambria Math" w:hAnsi="Cambria Math"/>
                          </w:rPr>
                          <m:t>μ</m:t>
                        </m:r>
                      </m:e>
                      <m:sub>
                        <m:r>
                          <w:rPr>
                            <w:rFonts w:ascii="Cambria Math" w:hAnsi="Cambria Math"/>
                          </w:rPr>
                          <m:t>Glc</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anaer</m:t>
                            </m:r>
                          </m:sub>
                        </m:sSub>
                      </m:den>
                    </m:f>
                    <m:sSub>
                      <m:sSubPr>
                        <m:ctrlPr>
                          <w:rPr>
                            <w:rFonts w:ascii="Cambria Math" w:hAnsi="Cambria Math"/>
                            <w:i/>
                          </w:rPr>
                        </m:ctrlPr>
                      </m:sSubPr>
                      <m:e>
                        <m:r>
                          <w:rPr>
                            <w:rFonts w:ascii="Cambria Math" w:hAnsi="Cambria Math"/>
                          </w:rPr>
                          <m:t>γ</m:t>
                        </m:r>
                      </m:e>
                      <m:sub>
                        <m:r>
                          <w:rPr>
                            <w:rFonts w:ascii="Cambria Math" w:hAnsi="Cambria Math"/>
                          </w:rPr>
                          <m:t>anaer</m:t>
                        </m:r>
                      </m:sub>
                    </m:sSub>
                    <m:sSub>
                      <m:sSubPr>
                        <m:ctrlPr>
                          <w:rPr>
                            <w:rFonts w:ascii="Cambria Math" w:hAnsi="Cambria Math"/>
                            <w:i/>
                          </w:rPr>
                        </m:ctrlPr>
                      </m:sSubPr>
                      <m:e>
                        <m:r>
                          <w:rPr>
                            <w:rFonts w:ascii="Cambria Math" w:hAnsi="Cambria Math"/>
                          </w:rPr>
                          <m:t>μ</m:t>
                        </m:r>
                      </m:e>
                      <m:sub>
                        <m:r>
                          <w:rPr>
                            <w:rFonts w:ascii="Cambria Math" w:hAnsi="Cambria Math"/>
                          </w:rPr>
                          <m:t>anaer</m:t>
                        </m:r>
                      </m:sub>
                    </m:sSub>
                  </m:e>
                </m:d>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Glc</m:t>
                    </m:r>
                  </m:sub>
                </m:sSub>
                <m:d>
                  <m:dPr>
                    <m:ctrlPr>
                      <w:rPr>
                        <w:rFonts w:ascii="Cambria Math" w:hAnsi="Cambria Math"/>
                        <w:i/>
                      </w:rPr>
                    </m:ctrlPr>
                  </m:dPr>
                  <m:e>
                    <m:r>
                      <w:rPr>
                        <w:rFonts w:ascii="Cambria Math" w:hAnsi="Cambria Math"/>
                      </w:rPr>
                      <m:t>0</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Glc</m:t>
                    </m:r>
                  </m:sub>
                  <m:sup>
                    <m:r>
                      <w:rPr>
                        <w:rFonts w:ascii="Cambria Math" w:hAnsi="Cambria Math"/>
                      </w:rPr>
                      <m:t>0</m:t>
                    </m:r>
                  </m:sup>
                </m:sSubSup>
                <m:r>
                  <w:rPr>
                    <w:rFonts w:ascii="Cambria Math" w:hAnsi="Cambria Math"/>
                  </w:rPr>
                  <m:t xml:space="preserve"> </m:t>
                </m:r>
              </m:oMath>
            </m:oMathPara>
          </w:p>
        </w:tc>
        <w:tc>
          <w:tcPr>
            <w:tcW w:w="805" w:type="dxa"/>
            <w:vAlign w:val="center"/>
          </w:tcPr>
          <w:p w14:paraId="55FBB9C6" w14:textId="791D1F8C" w:rsidR="00D651E8" w:rsidRPr="00B57B36" w:rsidRDefault="00D651E8" w:rsidP="00437820">
            <w:pPr>
              <w:pStyle w:val="CETEquation"/>
              <w:jc w:val="right"/>
            </w:pPr>
            <w:r w:rsidRPr="00B57B36">
              <w:t>(</w:t>
            </w:r>
            <w:r>
              <w:t>10</w:t>
            </w:r>
            <w:r w:rsidRPr="00B57B36">
              <w:t>)</w:t>
            </w:r>
          </w:p>
        </w:tc>
      </w:tr>
      <w:tr w:rsidR="00D651E8" w:rsidRPr="00B57B36" w14:paraId="7F765825" w14:textId="77777777" w:rsidTr="00437820">
        <w:tc>
          <w:tcPr>
            <w:tcW w:w="7982" w:type="dxa"/>
            <w:vAlign w:val="center"/>
          </w:tcPr>
          <w:p w14:paraId="355C5C40" w14:textId="0FCAE66F" w:rsidR="00D651E8" w:rsidRPr="00D651E8" w:rsidRDefault="00000000" w:rsidP="00437820">
            <w:pPr>
              <w:pStyle w:val="CETEquation"/>
            </w:pPr>
            <m:oMathPara>
              <m:oMathParaPr>
                <m:jc m:val="left"/>
              </m:oMathParaP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Gln</m:t>
                        </m:r>
                      </m:sub>
                    </m:sSub>
                  </m:num>
                  <m:den>
                    <m:r>
                      <w:rPr>
                        <w:rFonts w:ascii="Cambria Math" w:hAnsi="Cambria Math"/>
                      </w:rPr>
                      <m:t>dt</m:t>
                    </m:r>
                  </m:den>
                </m:f>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max</m:t>
                    </m:r>
                  </m:sub>
                </m:sSub>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Gln</m:t>
                        </m:r>
                      </m:sub>
                    </m:sSub>
                  </m:den>
                </m:f>
                <m:sSub>
                  <m:sSubPr>
                    <m:ctrlPr>
                      <w:rPr>
                        <w:rFonts w:ascii="Cambria Math" w:hAnsi="Cambria Math"/>
                        <w:i/>
                      </w:rPr>
                    </m:ctrlPr>
                  </m:sSubPr>
                  <m:e>
                    <m:r>
                      <w:rPr>
                        <w:rFonts w:ascii="Cambria Math" w:hAnsi="Cambria Math"/>
                      </w:rPr>
                      <m:t>γ</m:t>
                    </m:r>
                  </m:e>
                  <m:sub>
                    <m:r>
                      <w:rPr>
                        <w:rFonts w:ascii="Cambria Math" w:hAnsi="Cambria Math"/>
                      </w:rPr>
                      <m:t>aer</m:t>
                    </m:r>
                  </m:sub>
                </m:sSub>
                <m:sSub>
                  <m:sSubPr>
                    <m:ctrlPr>
                      <w:rPr>
                        <w:rFonts w:ascii="Cambria Math" w:hAnsi="Cambria Math"/>
                        <w:i/>
                      </w:rPr>
                    </m:ctrlPr>
                  </m:sSubPr>
                  <m:e>
                    <m:r>
                      <w:rPr>
                        <w:rFonts w:ascii="Cambria Math" w:hAnsi="Cambria Math"/>
                      </w:rPr>
                      <m:t>γ</m:t>
                    </m:r>
                  </m:e>
                  <m:sub>
                    <m:r>
                      <w:rPr>
                        <w:rFonts w:ascii="Cambria Math" w:hAnsi="Cambria Math"/>
                      </w:rPr>
                      <m:t>Gln</m:t>
                    </m:r>
                  </m:sub>
                </m:sSub>
                <m:sSub>
                  <m:sSubPr>
                    <m:ctrlPr>
                      <w:rPr>
                        <w:rFonts w:ascii="Cambria Math" w:hAnsi="Cambria Math"/>
                        <w:i/>
                      </w:rPr>
                    </m:ctrlPr>
                  </m:sSubPr>
                  <m:e>
                    <m:r>
                      <w:rPr>
                        <w:rFonts w:ascii="Cambria Math" w:hAnsi="Cambria Math"/>
                      </w:rPr>
                      <m:t>μ</m:t>
                    </m:r>
                  </m:e>
                  <m:sub>
                    <m:r>
                      <w:rPr>
                        <w:rFonts w:ascii="Cambria Math" w:hAnsi="Cambria Math"/>
                      </w:rPr>
                      <m:t>Gln</m:t>
                    </m:r>
                  </m:sub>
                </m:sSub>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Gln</m:t>
                    </m:r>
                  </m:sub>
                </m:sSub>
                <m:d>
                  <m:dPr>
                    <m:ctrlPr>
                      <w:rPr>
                        <w:rFonts w:ascii="Cambria Math" w:hAnsi="Cambria Math"/>
                        <w:i/>
                      </w:rPr>
                    </m:ctrlPr>
                  </m:dPr>
                  <m:e>
                    <m:r>
                      <w:rPr>
                        <w:rFonts w:ascii="Cambria Math" w:hAnsi="Cambria Math"/>
                      </w:rPr>
                      <m:t>0</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Gln</m:t>
                    </m:r>
                  </m:sub>
                  <m:sup>
                    <m:r>
                      <w:rPr>
                        <w:rFonts w:ascii="Cambria Math" w:hAnsi="Cambria Math"/>
                      </w:rPr>
                      <m:t>0</m:t>
                    </m:r>
                  </m:sup>
                </m:sSubSup>
              </m:oMath>
            </m:oMathPara>
          </w:p>
        </w:tc>
        <w:tc>
          <w:tcPr>
            <w:tcW w:w="805" w:type="dxa"/>
            <w:vAlign w:val="center"/>
          </w:tcPr>
          <w:p w14:paraId="334BD6A5" w14:textId="3B2A54D2" w:rsidR="00D651E8" w:rsidRPr="00B57B36" w:rsidRDefault="00D651E8" w:rsidP="00437820">
            <w:pPr>
              <w:pStyle w:val="CETEquation"/>
              <w:jc w:val="right"/>
            </w:pPr>
            <w:r>
              <w:t>(11)</w:t>
            </w:r>
          </w:p>
        </w:tc>
      </w:tr>
    </w:tbl>
    <w:p w14:paraId="4D374792" w14:textId="0EA3FC2E" w:rsidR="00D651E8" w:rsidRDefault="00D96B0F" w:rsidP="00255B91">
      <w:pPr>
        <w:pStyle w:val="CETBodytext"/>
      </w:pPr>
      <w:r>
        <w:t xml:space="preserve">The </w:t>
      </w:r>
      <w:r w:rsidR="00684298">
        <w:t xml:space="preserve">mass balance of the oxygen </w:t>
      </w:r>
      <w:r>
        <w:t>accounts</w:t>
      </w:r>
      <w:r w:rsidR="00684298">
        <w:t xml:space="preserve"> its consumption for the aerobic respiration and its transfer from the gas to the liquid phase (Eq 12):</w:t>
      </w:r>
    </w:p>
    <w:p w14:paraId="6B1EE258" w14:textId="59FB07B6" w:rsidR="00684298" w:rsidRDefault="00000000" w:rsidP="00255B91">
      <w:pPr>
        <w:pStyle w:val="CETBodytext"/>
      </w:pPr>
      <m:oMath>
        <m:f>
          <m:fPr>
            <m:ctrlPr>
              <w:rPr>
                <w:rFonts w:ascii="Cambria Math" w:hAnsi="Cambria Math"/>
                <w:i/>
                <w:lang w:val="en-GB"/>
              </w:rPr>
            </m:ctrlPr>
          </m:fPr>
          <m:num>
            <m:r>
              <w:rPr>
                <w:rFonts w:ascii="Cambria Math" w:hAnsi="Cambria Math"/>
                <w:lang w:val="en-GB"/>
              </w:rPr>
              <m:t>d</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r>
              <w:rPr>
                <w:rFonts w:ascii="Cambria Math" w:hAnsi="Cambria Math"/>
                <w:lang w:val="en-GB"/>
              </w:rPr>
              <m:t>d</m:t>
            </m:r>
            <m:r>
              <w:rPr>
                <w:rFonts w:ascii="Cambria Math" w:hAnsi="Cambria Math"/>
              </w:rPr>
              <m:t>t</m:t>
            </m:r>
          </m:den>
        </m:f>
        <m:r>
          <w:rPr>
            <w:rFonts w:ascii="Cambria Math" w:hAnsi="Cambria Math"/>
          </w:rPr>
          <m:t xml:space="preserve">=- </m:t>
        </m:r>
        <m:sSub>
          <m:sSubPr>
            <m:ctrlPr>
              <w:rPr>
                <w:rFonts w:ascii="Cambria Math" w:hAnsi="Cambria Math"/>
                <w:i/>
                <w:lang w:val="en-GB"/>
              </w:rPr>
            </m:ctrlPr>
          </m:sSubPr>
          <m:e>
            <m:r>
              <w:rPr>
                <w:rFonts w:ascii="Cambria Math" w:hAnsi="Cambria Math"/>
              </w:rPr>
              <m:t>μ</m:t>
            </m:r>
          </m:e>
          <m:sub>
            <m:r>
              <w:rPr>
                <w:rFonts w:ascii="Cambria Math" w:hAnsi="Cambria Math"/>
              </w:rPr>
              <m:t>max</m:t>
            </m:r>
          </m:sub>
        </m:sSub>
        <m:sSub>
          <m:sSubPr>
            <m:ctrlPr>
              <w:rPr>
                <w:rFonts w:ascii="Cambria Math" w:hAnsi="Cambria Math"/>
                <w:i/>
              </w:rPr>
            </m:ctrlPr>
          </m:sSubPr>
          <m:e>
            <m:r>
              <w:rPr>
                <w:rFonts w:ascii="Cambria Math" w:hAnsi="Cambria Math"/>
              </w:rPr>
              <m:t>γ</m:t>
            </m:r>
          </m:e>
          <m:sub>
            <m:r>
              <w:rPr>
                <w:rFonts w:ascii="Cambria Math" w:hAnsi="Cambria Math"/>
              </w:rPr>
              <m:t>aer</m:t>
            </m:r>
          </m:sub>
        </m:sSub>
        <m:d>
          <m:dPr>
            <m:ctrlPr>
              <w:rPr>
                <w:rFonts w:ascii="Cambria Math" w:hAnsi="Cambria Math"/>
                <w:i/>
                <w:lang w:val="en-GB"/>
              </w:rPr>
            </m:ctrlPr>
          </m:dPr>
          <m:e>
            <m:f>
              <m:fPr>
                <m:ctrlPr>
                  <w:rPr>
                    <w:rFonts w:ascii="Cambria Math" w:hAnsi="Cambria Math"/>
                    <w:i/>
                    <w:lang w:val="en-GB"/>
                  </w:rPr>
                </m:ctrlPr>
              </m:fPr>
              <m:num>
                <m:r>
                  <w:rPr>
                    <w:rFonts w:ascii="Cambria Math" w:hAnsi="Cambria Math"/>
                  </w:rPr>
                  <m:t>1</m:t>
                </m:r>
              </m:num>
              <m:den>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/Gln</m:t>
                    </m:r>
                  </m:sub>
                </m:sSub>
              </m:den>
            </m:f>
            <m:sSub>
              <m:sSubPr>
                <m:ctrlPr>
                  <w:rPr>
                    <w:rFonts w:ascii="Cambria Math" w:hAnsi="Cambria Math"/>
                    <w:i/>
                  </w:rPr>
                </m:ctrlPr>
              </m:sSubPr>
              <m:e>
                <m:r>
                  <w:rPr>
                    <w:rFonts w:ascii="Cambria Math" w:hAnsi="Cambria Math"/>
                  </w:rPr>
                  <m:t>γ</m:t>
                </m:r>
              </m:e>
              <m:sub>
                <m:r>
                  <w:rPr>
                    <w:rFonts w:ascii="Cambria Math" w:hAnsi="Cambria Math"/>
                  </w:rPr>
                  <m:t>Gln</m:t>
                </m:r>
              </m:sub>
            </m:sSub>
            <m:sSub>
              <m:sSubPr>
                <m:ctrlPr>
                  <w:rPr>
                    <w:rFonts w:ascii="Cambria Math" w:hAnsi="Cambria Math"/>
                    <w:i/>
                  </w:rPr>
                </m:ctrlPr>
              </m:sSubPr>
              <m:e>
                <m:r>
                  <w:rPr>
                    <w:rFonts w:ascii="Cambria Math" w:hAnsi="Cambria Math"/>
                  </w:rPr>
                  <m:t>μ</m:t>
                </m:r>
              </m:e>
              <m:sub>
                <m:r>
                  <w:rPr>
                    <w:rFonts w:ascii="Cambria Math" w:hAnsi="Cambria Math"/>
                  </w:rPr>
                  <m:t>Gln</m:t>
                </m:r>
              </m:sub>
            </m:sSub>
            <m:r>
              <w:rPr>
                <w:rFonts w:ascii="Cambria Math" w:hAnsi="Cambria Math"/>
              </w:rPr>
              <m:t xml:space="preserve">+  </m:t>
            </m:r>
            <m:f>
              <m:fPr>
                <m:ctrlPr>
                  <w:rPr>
                    <w:rFonts w:ascii="Cambria Math" w:hAnsi="Cambria Math"/>
                    <w:i/>
                    <w:lang w:val="en-GB"/>
                  </w:rPr>
                </m:ctrlPr>
              </m:fPr>
              <m:num>
                <m:r>
                  <w:rPr>
                    <w:rFonts w:ascii="Cambria Math" w:hAnsi="Cambria Math"/>
                  </w:rPr>
                  <m:t>1</m:t>
                </m:r>
              </m:num>
              <m:den>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/Glc</m:t>
                    </m:r>
                  </m:sub>
                </m:sSub>
              </m:den>
            </m:f>
            <m:sSub>
              <m:sSubPr>
                <m:ctrlPr>
                  <w:rPr>
                    <w:rFonts w:ascii="Cambria Math" w:hAnsi="Cambria Math"/>
                    <w:i/>
                  </w:rPr>
                </m:ctrlPr>
              </m:sSubPr>
              <m:e>
                <m:r>
                  <w:rPr>
                    <w:rFonts w:ascii="Cambria Math" w:hAnsi="Cambria Math"/>
                  </w:rPr>
                  <m:t>γ</m:t>
                </m:r>
              </m:e>
              <m:sub>
                <m:r>
                  <w:rPr>
                    <w:rFonts w:ascii="Cambria Math" w:hAnsi="Cambria Math"/>
                  </w:rPr>
                  <m:t>Glc</m:t>
                </m:r>
              </m:sub>
            </m:sSub>
            <m:sSub>
              <m:sSubPr>
                <m:ctrlPr>
                  <w:rPr>
                    <w:rFonts w:ascii="Cambria Math" w:hAnsi="Cambria Math"/>
                    <w:i/>
                  </w:rPr>
                </m:ctrlPr>
              </m:sSubPr>
              <m:e>
                <m:r>
                  <w:rPr>
                    <w:rFonts w:ascii="Cambria Math" w:hAnsi="Cambria Math"/>
                  </w:rPr>
                  <m:t>μ</m:t>
                </m:r>
              </m:e>
              <m:sub>
                <m:r>
                  <w:rPr>
                    <w:rFonts w:ascii="Cambria Math" w:hAnsi="Cambria Math"/>
                  </w:rPr>
                  <m:t>Glc</m:t>
                </m:r>
              </m:sub>
            </m:sSub>
          </m:e>
        </m:d>
        <m:r>
          <w:rPr>
            <w:rFonts w:ascii="Cambria Math" w:hAnsi="Cambria Math"/>
          </w:rPr>
          <m:t>X+</m:t>
        </m:r>
        <m:sSub>
          <m:sSubPr>
            <m:ctrlPr>
              <w:rPr>
                <w:rFonts w:ascii="Cambria Math" w:hAnsi="Cambria Math"/>
                <w:i/>
              </w:rPr>
            </m:ctrlPr>
          </m:sSubPr>
          <m:e>
            <m:r>
              <w:rPr>
                <w:rFonts w:ascii="Cambria Math" w:hAnsi="Cambria Math"/>
              </w:rPr>
              <m:t>k</m:t>
            </m:r>
          </m:e>
          <m:sub>
            <m:r>
              <w:rPr>
                <w:rFonts w:ascii="Cambria Math" w:hAnsi="Cambria Math"/>
              </w:rPr>
              <m:t>L</m:t>
            </m:r>
          </m:sub>
        </m:sSub>
        <m:r>
          <w:rPr>
            <w:rFonts w:ascii="Cambria Math" w:hAnsi="Cambria Math"/>
          </w:rPr>
          <m:t>a(</m:t>
        </m:r>
        <m:sSubSup>
          <m:sSubSupPr>
            <m:ctrlPr>
              <w:rPr>
                <w:rFonts w:ascii="Cambria Math" w:hAnsi="Cambria Math"/>
                <w:i/>
              </w:rPr>
            </m:ctrlPr>
          </m:sSubSup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
          <m:dPr>
            <m:ctrlPr>
              <w:rPr>
                <w:rFonts w:ascii="Cambria Math" w:hAnsi="Cambria Math"/>
                <w:i/>
              </w:rPr>
            </m:ctrlPr>
          </m:dPr>
          <m:e>
            <m:r>
              <w:rPr>
                <w:rFonts w:ascii="Cambria Math" w:hAnsi="Cambria Math"/>
              </w:rPr>
              <m:t>0</m:t>
            </m:r>
          </m:e>
        </m:d>
        <m:r>
          <w:rPr>
            <w:rFonts w:ascii="Cambria Math" w:hAnsi="Cambria Math"/>
          </w:rPr>
          <m:t>=</m:t>
        </m:r>
        <m:sSubSup>
          <m:sSubSupPr>
            <m:ctrlPr>
              <w:rPr>
                <w:rFonts w:ascii="Cambria Math" w:hAnsi="Cambria Math"/>
                <w:i/>
              </w:rPr>
            </m:ctrlPr>
          </m:sSubSup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0</m:t>
            </m:r>
          </m:sup>
        </m:sSubSup>
      </m:oMath>
      <w:r w:rsidR="00684298">
        <w:t xml:space="preserve">         (12)</w:t>
      </w:r>
    </w:p>
    <w:p w14:paraId="36658B8B" w14:textId="293D9DF8" w:rsidR="00732D31" w:rsidRDefault="00BA4219" w:rsidP="00255B91">
      <w:pPr>
        <w:pStyle w:val="CETBodytext"/>
      </w:pPr>
      <w:r>
        <w:t xml:space="preserve">Finally, the production of the catabolites </w:t>
      </w:r>
      <w:r w:rsidR="00F045D4">
        <w:t>is described by Eq. 13 for the lactate and the Eq. 14 for the ammonia.</w:t>
      </w:r>
    </w:p>
    <w:tbl>
      <w:tblPr>
        <w:tblW w:w="5000" w:type="pct"/>
        <w:tblLook w:val="04A0" w:firstRow="1" w:lastRow="0" w:firstColumn="1" w:lastColumn="0" w:noHBand="0" w:noVBand="1"/>
      </w:tblPr>
      <w:tblGrid>
        <w:gridCol w:w="7982"/>
        <w:gridCol w:w="805"/>
      </w:tblGrid>
      <w:tr w:rsidR="00F045D4" w:rsidRPr="00B57B36" w14:paraId="7A16ABD2" w14:textId="77777777" w:rsidTr="00437820">
        <w:tc>
          <w:tcPr>
            <w:tcW w:w="7982" w:type="dxa"/>
            <w:vAlign w:val="center"/>
          </w:tcPr>
          <w:p w14:paraId="092CF87C" w14:textId="1A6C8A29" w:rsidR="00F045D4" w:rsidRPr="003838C2" w:rsidRDefault="00000000" w:rsidP="00437820">
            <w:pPr>
              <w:pStyle w:val="CETEquation"/>
            </w:pPr>
            <m:oMathPara>
              <m:oMathParaPr>
                <m:jc m:val="left"/>
              </m:oMathParaP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Lac</m:t>
                        </m:r>
                      </m:sub>
                    </m:sSub>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max</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Lac/Gln</m:t>
                            </m:r>
                          </m:sub>
                        </m:sSub>
                      </m:den>
                    </m:f>
                    <m:sSub>
                      <m:sSubPr>
                        <m:ctrlPr>
                          <w:rPr>
                            <w:rFonts w:ascii="Cambria Math" w:hAnsi="Cambria Math"/>
                            <w:i/>
                          </w:rPr>
                        </m:ctrlPr>
                      </m:sSubPr>
                      <m:e>
                        <m:r>
                          <w:rPr>
                            <w:rFonts w:ascii="Cambria Math" w:hAnsi="Cambria Math"/>
                          </w:rPr>
                          <m:t>γ</m:t>
                        </m:r>
                      </m:e>
                      <m:sub>
                        <m:r>
                          <w:rPr>
                            <w:rFonts w:ascii="Cambria Math" w:hAnsi="Cambria Math"/>
                          </w:rPr>
                          <m:t>aer</m:t>
                        </m:r>
                      </m:sub>
                    </m:sSub>
                    <m:sSub>
                      <m:sSubPr>
                        <m:ctrlPr>
                          <w:rPr>
                            <w:rFonts w:ascii="Cambria Math" w:hAnsi="Cambria Math"/>
                            <w:i/>
                          </w:rPr>
                        </m:ctrlPr>
                      </m:sSubPr>
                      <m:e>
                        <m:r>
                          <w:rPr>
                            <w:rFonts w:ascii="Cambria Math" w:hAnsi="Cambria Math"/>
                          </w:rPr>
                          <m:t>γ</m:t>
                        </m:r>
                      </m:e>
                      <m:sub>
                        <m:r>
                          <w:rPr>
                            <w:rFonts w:ascii="Cambria Math" w:hAnsi="Cambria Math"/>
                          </w:rPr>
                          <m:t>Gln</m:t>
                        </m:r>
                      </m:sub>
                    </m:sSub>
                    <m:sSub>
                      <m:sSubPr>
                        <m:ctrlPr>
                          <w:rPr>
                            <w:rFonts w:ascii="Cambria Math" w:hAnsi="Cambria Math"/>
                            <w:i/>
                          </w:rPr>
                        </m:ctrlPr>
                      </m:sSubPr>
                      <m:e>
                        <m:r>
                          <w:rPr>
                            <w:rFonts w:ascii="Cambria Math" w:hAnsi="Cambria Math"/>
                          </w:rPr>
                          <m:t>μ</m:t>
                        </m:r>
                      </m:e>
                      <m:sub>
                        <m:r>
                          <w:rPr>
                            <w:rFonts w:ascii="Cambria Math" w:hAnsi="Cambria Math"/>
                          </w:rPr>
                          <m:t>Gln</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/Gln</m:t>
                            </m:r>
                          </m:sub>
                        </m:sSub>
                      </m:den>
                    </m:f>
                    <m:sSub>
                      <m:sSubPr>
                        <m:ctrlPr>
                          <w:rPr>
                            <w:rFonts w:ascii="Cambria Math" w:hAnsi="Cambria Math"/>
                            <w:i/>
                          </w:rPr>
                        </m:ctrlPr>
                      </m:sSubPr>
                      <m:e>
                        <m:r>
                          <w:rPr>
                            <w:rFonts w:ascii="Cambria Math" w:hAnsi="Cambria Math"/>
                          </w:rPr>
                          <m:t>γ</m:t>
                        </m:r>
                      </m:e>
                      <m:sub>
                        <m:r>
                          <w:rPr>
                            <w:rFonts w:ascii="Cambria Math" w:hAnsi="Cambria Math"/>
                          </w:rPr>
                          <m:t>Glc</m:t>
                        </m:r>
                      </m:sub>
                    </m:sSub>
                    <m:sSub>
                      <m:sSubPr>
                        <m:ctrlPr>
                          <w:rPr>
                            <w:rFonts w:ascii="Cambria Math" w:hAnsi="Cambria Math"/>
                            <w:i/>
                          </w:rPr>
                        </m:ctrlPr>
                      </m:sSubPr>
                      <m:e>
                        <m:r>
                          <w:rPr>
                            <w:rFonts w:ascii="Cambria Math" w:hAnsi="Cambria Math"/>
                          </w:rPr>
                          <m:t>μ</m:t>
                        </m:r>
                      </m:e>
                      <m:sub>
                        <m:r>
                          <w:rPr>
                            <w:rFonts w:ascii="Cambria Math" w:hAnsi="Cambria Math"/>
                          </w:rPr>
                          <m:t>Glc</m:t>
                        </m:r>
                      </m:sub>
                    </m:sSub>
                  </m:e>
                </m:d>
                <m:r>
                  <w:rPr>
                    <w:rFonts w:ascii="Cambria Math" w:hAnsi="Cambria Math"/>
                  </w:rPr>
                  <m:t>X-</m:t>
                </m:r>
                <m:sSub>
                  <m:sSubPr>
                    <m:ctrlPr>
                      <w:rPr>
                        <w:rFonts w:ascii="Cambria Math" w:hAnsi="Cambria Math"/>
                        <w:i/>
                      </w:rPr>
                    </m:ctrlPr>
                  </m:sSubPr>
                  <m:e>
                    <m:r>
                      <w:rPr>
                        <w:rFonts w:ascii="Cambria Math" w:hAnsi="Cambria Math"/>
                      </w:rPr>
                      <m:t>μ</m:t>
                    </m:r>
                  </m:e>
                  <m:sub>
                    <m:r>
                      <w:rPr>
                        <w:rFonts w:ascii="Cambria Math" w:hAnsi="Cambria Math"/>
                      </w:rPr>
                      <m:t>lac</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lac</m:t>
                            </m:r>
                          </m:sub>
                        </m:sSub>
                      </m:num>
                      <m:den>
                        <m:sSub>
                          <m:sSubPr>
                            <m:ctrlPr>
                              <w:rPr>
                                <w:rFonts w:ascii="Cambria Math" w:hAnsi="Cambria Math"/>
                                <w:i/>
                              </w:rPr>
                            </m:ctrlPr>
                          </m:sSubPr>
                          <m:e>
                            <m:r>
                              <w:rPr>
                                <w:rFonts w:ascii="Cambria Math" w:hAnsi="Cambria Math"/>
                              </w:rPr>
                              <m:t>K</m:t>
                            </m:r>
                          </m:e>
                          <m:sub>
                            <m:r>
                              <w:rPr>
                                <w:rFonts w:ascii="Cambria Math" w:hAnsi="Cambria Math"/>
                              </w:rPr>
                              <m:t>lac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lac</m:t>
                            </m:r>
                          </m:sub>
                        </m:sSub>
                      </m:den>
                    </m:f>
                    <m:r>
                      <w:rPr>
                        <w:rFonts w:ascii="Cambria Math" w:hAnsi="Cambria Math"/>
                      </w:rPr>
                      <m:t xml:space="preserve"> </m:t>
                    </m:r>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g</m:t>
                            </m:r>
                          </m:sub>
                        </m:sSub>
                      </m:num>
                      <m:den>
                        <m:sSub>
                          <m:sSubPr>
                            <m:ctrlPr>
                              <w:rPr>
                                <w:rFonts w:ascii="Cambria Math" w:hAnsi="Cambria Math"/>
                                <w:i/>
                              </w:rPr>
                            </m:ctrlPr>
                          </m:sSubPr>
                          <m:e>
                            <m:r>
                              <w:rPr>
                                <w:rFonts w:ascii="Cambria Math" w:hAnsi="Cambria Math"/>
                              </w:rPr>
                              <m:t>K</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Glc</m:t>
                            </m:r>
                          </m:sub>
                        </m:sSub>
                      </m:den>
                    </m:f>
                  </m:e>
                </m:d>
                <m:r>
                  <w:rPr>
                    <w:rFonts w:ascii="Cambria Math" w:hAnsi="Cambria Math"/>
                  </w:rPr>
                  <m:t xml:space="preserve">X </m:t>
                </m:r>
              </m:oMath>
            </m:oMathPara>
          </w:p>
          <w:p w14:paraId="2E92BE6F" w14:textId="4950FF24" w:rsidR="003838C2" w:rsidRPr="003838C2" w:rsidRDefault="00000000" w:rsidP="003838C2">
            <w:pPr>
              <w:pStyle w:val="CETBodytext"/>
              <w:rPr>
                <w:lang w:val="en-GB"/>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Lac</m:t>
                    </m:r>
                  </m:sub>
                </m:sSub>
                <m:d>
                  <m:dPr>
                    <m:ctrlPr>
                      <w:rPr>
                        <w:rFonts w:ascii="Cambria Math" w:hAnsi="Cambria Math"/>
                        <w:i/>
                      </w:rPr>
                    </m:ctrlPr>
                  </m:dPr>
                  <m:e>
                    <m:r>
                      <w:rPr>
                        <w:rFonts w:ascii="Cambria Math" w:hAnsi="Cambria Math"/>
                      </w:rPr>
                      <m:t>0</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Lac</m:t>
                    </m:r>
                  </m:sub>
                  <m:sup>
                    <m:r>
                      <w:rPr>
                        <w:rFonts w:ascii="Cambria Math" w:hAnsi="Cambria Math"/>
                      </w:rPr>
                      <m:t>0</m:t>
                    </m:r>
                  </m:sup>
                </m:sSubSup>
              </m:oMath>
            </m:oMathPara>
          </w:p>
        </w:tc>
        <w:tc>
          <w:tcPr>
            <w:tcW w:w="805" w:type="dxa"/>
            <w:vAlign w:val="center"/>
          </w:tcPr>
          <w:p w14:paraId="4EA06384" w14:textId="62C6C67A" w:rsidR="00F045D4" w:rsidRPr="00B57B36" w:rsidRDefault="00F045D4" w:rsidP="00437820">
            <w:pPr>
              <w:pStyle w:val="CETEquation"/>
              <w:jc w:val="right"/>
            </w:pPr>
            <w:r>
              <w:t>(13)</w:t>
            </w:r>
          </w:p>
        </w:tc>
      </w:tr>
      <w:tr w:rsidR="00F045D4" w:rsidRPr="00B57B36" w14:paraId="78F81B7D" w14:textId="77777777" w:rsidTr="00437820">
        <w:tc>
          <w:tcPr>
            <w:tcW w:w="7982" w:type="dxa"/>
            <w:vAlign w:val="center"/>
          </w:tcPr>
          <w:p w14:paraId="1E29BA6A" w14:textId="65AE3B49" w:rsidR="00F045D4" w:rsidRPr="003838C2" w:rsidRDefault="00000000" w:rsidP="00437820">
            <w:pPr>
              <w:pStyle w:val="CETEquation"/>
            </w:pP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Amm</m:t>
                      </m:r>
                    </m:sub>
                  </m:sSub>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max</m:t>
                  </m:r>
                </m:sub>
              </m:sSub>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Amm/Gln</m:t>
                      </m:r>
                    </m:sub>
                  </m:sSub>
                </m:den>
              </m:f>
              <m:sSub>
                <m:sSubPr>
                  <m:ctrlPr>
                    <w:rPr>
                      <w:rFonts w:ascii="Cambria Math" w:hAnsi="Cambria Math"/>
                      <w:i/>
                    </w:rPr>
                  </m:ctrlPr>
                </m:sSubPr>
                <m:e>
                  <m:r>
                    <w:rPr>
                      <w:rFonts w:ascii="Cambria Math" w:hAnsi="Cambria Math"/>
                    </w:rPr>
                    <m:t>γ</m:t>
                  </m:r>
                </m:e>
                <m:sub>
                  <m:r>
                    <w:rPr>
                      <w:rFonts w:ascii="Cambria Math" w:hAnsi="Cambria Math"/>
                    </w:rPr>
                    <m:t>aer</m:t>
                  </m:r>
                </m:sub>
              </m:sSub>
              <m:sSub>
                <m:sSubPr>
                  <m:ctrlPr>
                    <w:rPr>
                      <w:rFonts w:ascii="Cambria Math" w:hAnsi="Cambria Math"/>
                      <w:i/>
                    </w:rPr>
                  </m:ctrlPr>
                </m:sSubPr>
                <m:e>
                  <m:r>
                    <w:rPr>
                      <w:rFonts w:ascii="Cambria Math" w:hAnsi="Cambria Math"/>
                    </w:rPr>
                    <m:t>γ</m:t>
                  </m:r>
                </m:e>
                <m:sub>
                  <m:r>
                    <w:rPr>
                      <w:rFonts w:ascii="Cambria Math" w:hAnsi="Cambria Math"/>
                    </w:rPr>
                    <m:t>Gln</m:t>
                  </m:r>
                </m:sub>
              </m:sSub>
              <m:sSub>
                <m:sSubPr>
                  <m:ctrlPr>
                    <w:rPr>
                      <w:rFonts w:ascii="Cambria Math" w:hAnsi="Cambria Math"/>
                      <w:i/>
                    </w:rPr>
                  </m:ctrlPr>
                </m:sSubPr>
                <m:e>
                  <m:r>
                    <w:rPr>
                      <w:rFonts w:ascii="Cambria Math" w:hAnsi="Cambria Math"/>
                    </w:rPr>
                    <m:t>μ</m:t>
                  </m:r>
                </m:e>
                <m:sub>
                  <m:r>
                    <w:rPr>
                      <w:rFonts w:ascii="Cambria Math" w:hAnsi="Cambria Math"/>
                    </w:rPr>
                    <m:t>Gln</m:t>
                  </m:r>
                </m:sub>
              </m:sSub>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Amm</m:t>
                  </m:r>
                </m:sub>
              </m:sSub>
              <m:d>
                <m:dPr>
                  <m:ctrlPr>
                    <w:rPr>
                      <w:rFonts w:ascii="Cambria Math" w:hAnsi="Cambria Math"/>
                      <w:i/>
                    </w:rPr>
                  </m:ctrlPr>
                </m:dPr>
                <m:e>
                  <m:r>
                    <w:rPr>
                      <w:rFonts w:ascii="Cambria Math" w:hAnsi="Cambria Math"/>
                    </w:rPr>
                    <m:t>0</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Amm</m:t>
                  </m:r>
                </m:sub>
                <m:sup>
                  <m:r>
                    <w:rPr>
                      <w:rFonts w:ascii="Cambria Math" w:hAnsi="Cambria Math"/>
                    </w:rPr>
                    <m:t>0</m:t>
                  </m:r>
                </m:sup>
              </m:sSubSup>
              <m:r>
                <w:rPr>
                  <w:rFonts w:ascii="Cambria Math" w:hAnsi="Cambria Math"/>
                </w:rPr>
                <m:t xml:space="preserve">   </m:t>
              </m:r>
            </m:oMath>
            <w:r w:rsidR="00EC55BC">
              <w:t xml:space="preserve">                                       </w:t>
            </w:r>
          </w:p>
        </w:tc>
        <w:tc>
          <w:tcPr>
            <w:tcW w:w="805" w:type="dxa"/>
            <w:vAlign w:val="center"/>
          </w:tcPr>
          <w:p w14:paraId="41E13D43" w14:textId="1D2BACA0" w:rsidR="00F045D4" w:rsidRDefault="00F045D4" w:rsidP="00437820">
            <w:pPr>
              <w:pStyle w:val="CETEquation"/>
              <w:jc w:val="right"/>
            </w:pPr>
            <w:r>
              <w:t>(14)</w:t>
            </w:r>
          </w:p>
        </w:tc>
      </w:tr>
    </w:tbl>
    <w:p w14:paraId="41ECA56B" w14:textId="58570FEE" w:rsidR="00F045D4" w:rsidRDefault="00D96B0F" w:rsidP="00255B91">
      <w:pPr>
        <w:pStyle w:val="CETBodytext"/>
      </w:pPr>
      <w:r w:rsidRPr="00D96B0F">
        <w:lastRenderedPageBreak/>
        <w:t>It is important to note that, as described in Eq. 13, lactate can be consumed by CHO cells following a metabolic shift from lactate productio</w:t>
      </w:r>
      <w:r>
        <w:t xml:space="preserve">n, </w:t>
      </w:r>
      <w:r w:rsidRPr="00D96B0F">
        <w:t>occurring in the presence of glucose</w:t>
      </w:r>
      <w:r>
        <w:t xml:space="preserve">, </w:t>
      </w:r>
      <w:r w:rsidRPr="00D96B0F">
        <w:t>to lactate consumption after glucose depletion, leading to a more energy-efficient metabolic state during the stationary phase (Martínez et al., 2013).</w:t>
      </w:r>
      <w:r w:rsidR="00957F3C">
        <w:t xml:space="preserve"> </w:t>
      </w:r>
    </w:p>
    <w:p w14:paraId="3FF85B92" w14:textId="2B4BE30E" w:rsidR="00D0559E" w:rsidRPr="00255B91" w:rsidRDefault="00D0559E" w:rsidP="00255B91">
      <w:pPr>
        <w:pStyle w:val="CETBodytext"/>
      </w:pPr>
      <w:r w:rsidRPr="00D0559E">
        <w:t xml:space="preserve">Using experimental data available in the literature, it was possible to estimate the kinetic parameters specific to the system, including Monod constants, inhibition constants, and yield coefficients. The simulations were performed using the </w:t>
      </w:r>
      <w:proofErr w:type="spellStart"/>
      <w:r w:rsidRPr="00D0559E">
        <w:t>gPROMS</w:t>
      </w:r>
      <w:proofErr w:type="spellEnd"/>
      <w:r w:rsidRPr="00D0559E">
        <w:t xml:space="preserve"> software, where the time domain was discretized through a backward finite difference method. Parameter estimation was conducted using the </w:t>
      </w:r>
      <w:proofErr w:type="spellStart"/>
      <w:r w:rsidRPr="00D0559E">
        <w:t>gPROMS</w:t>
      </w:r>
      <w:proofErr w:type="spellEnd"/>
      <w:r w:rsidRPr="00D0559E">
        <w:t xml:space="preserve"> Parameter Estimation tool.</w:t>
      </w:r>
    </w:p>
    <w:p w14:paraId="18BAFA6F" w14:textId="233679E3" w:rsidR="00453E24" w:rsidRDefault="00957F3C" w:rsidP="00453E24">
      <w:pPr>
        <w:pStyle w:val="CETheadingx"/>
      </w:pPr>
      <w:r>
        <w:t>Combination of the mathematical model with the reactor scale up strategies</w:t>
      </w:r>
    </w:p>
    <w:p w14:paraId="5404FE7D" w14:textId="25AB11FE" w:rsidR="00D0559E" w:rsidRDefault="001B59ED" w:rsidP="006F7438">
      <w:pPr>
        <w:pStyle w:val="CETBodytext"/>
        <w:jc w:val="left"/>
      </w:pPr>
      <w:r w:rsidRPr="001B59ED">
        <w:rPr>
          <w:noProof/>
          <w:lang w:val="en-GB"/>
        </w:rPr>
        <w:drawing>
          <wp:inline distT="0" distB="0" distL="0" distR="0" wp14:anchorId="2EDDF2EC" wp14:editId="13993EFE">
            <wp:extent cx="5588000" cy="4775200"/>
            <wp:effectExtent l="0" t="0" r="0" b="0"/>
            <wp:docPr id="187162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2010" name=""/>
                    <pic:cNvPicPr/>
                  </pic:nvPicPr>
                  <pic:blipFill>
                    <a:blip r:embed="rId10"/>
                    <a:stretch>
                      <a:fillRect/>
                    </a:stretch>
                  </pic:blipFill>
                  <pic:spPr>
                    <a:xfrm>
                      <a:off x="0" y="0"/>
                      <a:ext cx="5626855" cy="4808403"/>
                    </a:xfrm>
                    <a:prstGeom prst="rect">
                      <a:avLst/>
                    </a:prstGeom>
                  </pic:spPr>
                </pic:pic>
              </a:graphicData>
            </a:graphic>
          </wp:inline>
        </w:drawing>
      </w:r>
    </w:p>
    <w:p w14:paraId="22678A5E" w14:textId="14B31A72" w:rsidR="00D0559E" w:rsidRDefault="00D0559E" w:rsidP="00D0559E">
      <w:pPr>
        <w:pStyle w:val="CETBodytext"/>
        <w:rPr>
          <w:rStyle w:val="CETCaptionCarattere"/>
        </w:rPr>
      </w:pPr>
      <w:r w:rsidRPr="00BD077D">
        <w:rPr>
          <w:rStyle w:val="CETCaptionCarattere"/>
        </w:rPr>
        <w:t xml:space="preserve">Figure 1: </w:t>
      </w:r>
      <w:r>
        <w:rPr>
          <w:rStyle w:val="CETCaptionCarattere"/>
        </w:rPr>
        <w:t>Proposed scheme used in the case study for the combination of the mathematical model with the scale-up criteria in case of CHO cells bioreactors</w:t>
      </w:r>
    </w:p>
    <w:p w14:paraId="40AA7833" w14:textId="77777777" w:rsidR="00D0559E" w:rsidRDefault="00D0559E" w:rsidP="00D0559E">
      <w:pPr>
        <w:pStyle w:val="CETBodytext"/>
      </w:pPr>
    </w:p>
    <w:p w14:paraId="309D52F7" w14:textId="085251A2" w:rsidR="00BD0A90" w:rsidRPr="0077302C" w:rsidRDefault="00D0559E" w:rsidP="0043039D">
      <w:pPr>
        <w:pStyle w:val="CETBodytext"/>
      </w:pPr>
      <w:r>
        <w:t>From the model simulations, it is possible to identify the optimal operating parameters required to achieve the desired target (</w:t>
      </w:r>
      <w:r w:rsidR="00380964">
        <w:t>e.g.</w:t>
      </w:r>
      <w:r>
        <w:t>, daily productivity and limits on catabolite</w:t>
      </w:r>
      <w:r w:rsidR="00380964">
        <w:t xml:space="preserve"> and undesired secondary products </w:t>
      </w:r>
      <w:r>
        <w:t xml:space="preserve">formation). However, these parameters alone are not sufficient to ensure a robust system at the design stage: they must be integrated with </w:t>
      </w:r>
      <w:r w:rsidR="00380964">
        <w:t xml:space="preserve">well-established </w:t>
      </w:r>
      <w:r>
        <w:t xml:space="preserve">design choices that account for the limitations and non-idealities of the bioreactor. The scheme that combines these two approaches is shown in Figure 1. From the right column of Figure </w:t>
      </w:r>
      <w:r w:rsidR="00C17C02">
        <w:t>1</w:t>
      </w:r>
      <w:r>
        <w:t xml:space="preserve">, it can be observed that, once the operating parameters ensuring the target achievement have been identified, it is possible to calculate the minimum oxygen mass transfer coefficient </w:t>
      </w:r>
      <m:oMath>
        <m:sSub>
          <m:sSubPr>
            <m:ctrlPr>
              <w:rPr>
                <w:rFonts w:ascii="Cambria Math" w:hAnsi="Cambria Math"/>
                <w:i/>
              </w:rPr>
            </m:ctrlPr>
          </m:sSubPr>
          <m:e>
            <m:r>
              <w:rPr>
                <w:rFonts w:ascii="Cambria Math" w:hAnsi="Cambria Math"/>
              </w:rPr>
              <m:t>k</m:t>
            </m:r>
          </m:e>
          <m:sub>
            <m:r>
              <w:rPr>
                <w:rFonts w:ascii="Cambria Math" w:hAnsi="Cambria Math"/>
              </w:rPr>
              <m:t>L</m:t>
            </m:r>
          </m:sub>
        </m:sSub>
        <m:r>
          <w:rPr>
            <w:rFonts w:ascii="Cambria Math" w:hAnsi="Cambria Math"/>
          </w:rPr>
          <m:t>amin</m:t>
        </m:r>
      </m:oMath>
      <w:r>
        <w:t xml:space="preserve"> required to guarantee an adequate oxygen concentration inside the bioreactor</w:t>
      </w:r>
      <w:r w:rsidR="000526BD">
        <w:t xml:space="preserve"> (Eq. 23)</w:t>
      </w:r>
      <w:r>
        <w:t xml:space="preserve">. Oxygenation is in fact one of the most critical aspects in CHO bioreactors, as it requires an efficient and homogeneous transfer of oxygen to the liquid phase, which can only be achieved through proper design of the reactor, the impellers, and the aeration system. Once the reactor design inputs have been defined (central column of Figure 1), the effective </w:t>
      </w:r>
      <m:oMath>
        <m:sSub>
          <m:sSubPr>
            <m:ctrlPr>
              <w:rPr>
                <w:rFonts w:ascii="Cambria Math" w:hAnsi="Cambria Math"/>
                <w:i/>
              </w:rPr>
            </m:ctrlPr>
          </m:sSubPr>
          <m:e>
            <m:r>
              <w:rPr>
                <w:rFonts w:ascii="Cambria Math" w:hAnsi="Cambria Math"/>
              </w:rPr>
              <m:t>k</m:t>
            </m:r>
          </m:e>
          <m:sub>
            <m:r>
              <w:rPr>
                <w:rFonts w:ascii="Cambria Math" w:hAnsi="Cambria Math"/>
              </w:rPr>
              <m:t>L</m:t>
            </m:r>
          </m:sub>
        </m:sSub>
        <m:r>
          <w:rPr>
            <w:rFonts w:ascii="Cambria Math" w:hAnsi="Cambria Math"/>
          </w:rPr>
          <m:t>a</m:t>
        </m:r>
      </m:oMath>
      <w:r>
        <w:t xml:space="preserve"> of the designed system can be calculated and verified to be higher than the minimum value derived from the model. Among the design inputs, the choice of the impeller type and its sizing are fundamental parameters. Referring to the central </w:t>
      </w:r>
      <w:r>
        <w:lastRenderedPageBreak/>
        <w:t xml:space="preserve">column of Figure 1, the impeller rotation speed </w:t>
      </w: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oMath>
      <w:r>
        <w:t>is the most easily adjustable parameter, as it directly determines the power supplied to the system to ensure proper mixing. This power can be obtained from the correlations between the Reynolds number (Eq. 15) and the power number</w:t>
      </w:r>
      <w:r w:rsidR="00380964">
        <w:t xml:space="preserve"> </w:t>
      </w:r>
      <m:oMath>
        <m:sSub>
          <m:sSubPr>
            <m:ctrlPr>
              <w:rPr>
                <w:rFonts w:ascii="Cambria Math" w:hAnsi="Cambria Math"/>
                <w:i/>
              </w:rPr>
            </m:ctrlPr>
          </m:sSubPr>
          <m:e>
            <m:r>
              <w:rPr>
                <w:rFonts w:ascii="Cambria Math" w:hAnsi="Cambria Math"/>
              </w:rPr>
              <m:t>N</m:t>
            </m:r>
          </m:e>
          <m:sub>
            <m:r>
              <w:rPr>
                <w:rFonts w:ascii="Cambria Math" w:hAnsi="Cambria Math"/>
              </w:rPr>
              <m:t>p</m:t>
            </m:r>
          </m:sub>
        </m:sSub>
      </m:oMath>
      <w:r>
        <w:t xml:space="preserve">, an empirical parameter characteristic of the impeller type, from which the power </w:t>
      </w:r>
      <w:r w:rsidR="00A628B1">
        <w:t xml:space="preserve">of the impellers </w:t>
      </w:r>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 xml:space="preserve"> </m:t>
        </m:r>
      </m:oMath>
      <w:r>
        <w:t xml:space="preserve">can be calculated using Eq. 17. In general, as </w:t>
      </w:r>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 xml:space="preserve"> </m:t>
        </m:r>
      </m:oMath>
      <w:r>
        <w:t xml:space="preserve">increases, mixing, and mass transfer also increase. However, CHO cells are highly sensitive to shear stress, and therefore a maximum allowable value of </w:t>
      </w:r>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 xml:space="preserve">/V </m:t>
        </m:r>
      </m:oMath>
      <w:r>
        <w:t xml:space="preserve">exists, reported in the literature to be around </w:t>
      </w:r>
      <w:r w:rsidR="000B1E20">
        <w:t>100</w:t>
      </w:r>
      <w:r w:rsidR="00557728">
        <w:t>0 W/m</w:t>
      </w:r>
      <w:r w:rsidR="00557728">
        <w:rPr>
          <w:vertAlign w:val="superscript"/>
        </w:rPr>
        <w:t xml:space="preserve">3 </w:t>
      </w:r>
      <w:r w:rsidR="00557728">
        <w:t>(</w:t>
      </w:r>
      <w:proofErr w:type="spellStart"/>
      <w:r w:rsidR="00557728">
        <w:t>Kenmoku</w:t>
      </w:r>
      <w:proofErr w:type="spellEnd"/>
      <w:r w:rsidR="00557728">
        <w:t xml:space="preserve"> et al., 2025).</w:t>
      </w:r>
      <w:r>
        <w:t xml:space="preserve"> </w:t>
      </w:r>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 xml:space="preserve"> </m:t>
        </m:r>
      </m:oMath>
      <w:r w:rsidRPr="00D0559E">
        <w:t>represents</w:t>
      </w:r>
      <w:r>
        <w:t xml:space="preserve"> the power required in the case of a liquid-only phase. In the presence of the gas phase, which contributes to mixing, the effective required power is lower. To determine the effective power </w:t>
      </w:r>
      <m:oMath>
        <m:sSub>
          <m:sSubPr>
            <m:ctrlPr>
              <w:rPr>
                <w:rFonts w:ascii="Cambria Math" w:hAnsi="Cambria Math"/>
                <w:i/>
              </w:rPr>
            </m:ctrlPr>
          </m:sSubPr>
          <m:e>
            <m:r>
              <w:rPr>
                <w:rFonts w:ascii="Cambria Math" w:hAnsi="Cambria Math"/>
              </w:rPr>
              <m:t>P</m:t>
            </m:r>
          </m:e>
          <m:sub>
            <m:r>
              <w:rPr>
                <w:rFonts w:ascii="Cambria Math" w:hAnsi="Cambria Math"/>
              </w:rPr>
              <m:t>a</m:t>
            </m:r>
          </m:sub>
        </m:sSub>
      </m:oMath>
      <w:r>
        <w:t xml:space="preserve">​, the aeration number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m:t>
        </m:r>
      </m:oMath>
      <w:r w:rsidR="00090D6A">
        <w:t xml:space="preserve">is </w:t>
      </w:r>
      <w:r>
        <w:t xml:space="preserve">introduced, referring to the left column of the </w:t>
      </w:r>
      <w:r w:rsidRPr="0038600A">
        <w:t xml:space="preserve">graph in Figure 1. The value of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m:t>
        </m:r>
      </m:oMath>
      <w:r w:rsidRPr="0038600A">
        <w:t xml:space="preserve"> must be selected so that it does not fall below the minimum for complete gas dispersion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,disp </m:t>
        </m:r>
      </m:oMath>
      <w:r w:rsidRPr="0038600A">
        <w:t xml:space="preserve">(Eq. </w:t>
      </w:r>
      <w:r w:rsidR="0038600A" w:rsidRPr="0038600A">
        <w:t>18</w:t>
      </w:r>
      <w:r w:rsidRPr="0038600A">
        <w:t xml:space="preserve">) and does not exceed the limit value beyond which the floating phenomenon occurs </w:t>
      </w:r>
      <m:oMath>
        <m:sSub>
          <m:sSubPr>
            <m:ctrlPr>
              <w:rPr>
                <w:rFonts w:ascii="Cambria Math" w:hAnsi="Cambria Math"/>
                <w:i/>
              </w:rPr>
            </m:ctrlPr>
          </m:sSubPr>
          <m:e>
            <m:r>
              <w:rPr>
                <w:rFonts w:ascii="Cambria Math" w:hAnsi="Cambria Math"/>
              </w:rPr>
              <m:t>N</m:t>
            </m:r>
          </m:e>
          <m:sub>
            <m:r>
              <w:rPr>
                <w:rFonts w:ascii="Cambria Math" w:hAnsi="Cambria Math"/>
              </w:rPr>
              <m:t>a,F</m:t>
            </m:r>
          </m:sub>
        </m:sSub>
        <m:r>
          <w:rPr>
            <w:rFonts w:ascii="Cambria Math" w:hAnsi="Cambria Math"/>
          </w:rPr>
          <m:t xml:space="preserve"> </m:t>
        </m:r>
      </m:oMath>
      <w:r w:rsidRPr="0038600A">
        <w:rPr>
          <w:vertAlign w:val="subscript"/>
        </w:rPr>
        <w:t xml:space="preserve"> </w:t>
      </w:r>
      <w:r w:rsidRPr="0038600A">
        <w:t xml:space="preserve">(Eq. </w:t>
      </w:r>
      <w:r w:rsidR="0038600A" w:rsidRPr="0038600A">
        <w:t>19</w:t>
      </w:r>
      <w:r w:rsidRPr="0038600A">
        <w:t xml:space="preserve">). </w:t>
      </w:r>
      <w:r w:rsidR="0038600A" w:rsidRPr="0038600A">
        <w:t xml:space="preserve">Both the aeration number are dependent by Fr number (Eq.16). </w:t>
      </w:r>
      <w:r w:rsidRPr="0038600A">
        <w:t xml:space="preserve">For this reason, a corrective factor </w:t>
      </w:r>
      <w:r w:rsidR="008C38B1">
        <w:sym w:font="Symbol" w:char="F06A"/>
      </w:r>
      <w:r w:rsidR="009455AE">
        <w:sym w:font="Symbol" w:char="F061"/>
      </w:r>
      <w:r w:rsidRPr="0038600A">
        <w:t xml:space="preserve"> is introduced to ensure that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m:t>
        </m:r>
      </m:oMath>
      <w:r w:rsidRPr="0038600A">
        <w:t>remains within this interval</w:t>
      </w:r>
      <w:r w:rsidR="0038600A" w:rsidRPr="0038600A">
        <w:t xml:space="preserve"> (eq. 20)</w:t>
      </w:r>
      <w:r w:rsidR="009455AE">
        <w:t xml:space="preserve">, where </w:t>
      </w:r>
      <w:r w:rsidR="009455AE">
        <w:sym w:font="Symbol" w:char="F06A"/>
      </w:r>
      <w:r w:rsidR="009455AE">
        <w:t xml:space="preserve"> is the ration between</w:t>
      </w:r>
      <w:r w:rsidR="001B59ED">
        <w:t xml:space="preserve"> </w:t>
      </w:r>
      <m:oMath>
        <m:sSub>
          <m:sSubPr>
            <m:ctrlPr>
              <w:rPr>
                <w:rFonts w:ascii="Cambria Math" w:hAnsi="Cambria Math"/>
                <w:i/>
              </w:rPr>
            </m:ctrlPr>
          </m:sSubPr>
          <m:e>
            <m:r>
              <w:rPr>
                <w:rFonts w:ascii="Cambria Math" w:hAnsi="Cambria Math"/>
              </w:rPr>
              <m:t>N</m:t>
            </m:r>
          </m:e>
          <m:sub>
            <m:r>
              <w:rPr>
                <w:rFonts w:ascii="Cambria Math" w:hAnsi="Cambria Math"/>
              </w:rPr>
              <m:t>a,F</m:t>
            </m:r>
          </m:sub>
        </m:sSub>
        <m:r>
          <w:rPr>
            <w:rFonts w:ascii="Cambria Math" w:hAnsi="Cambria Math"/>
          </w:rPr>
          <m:t xml:space="preserve"> </m:t>
        </m:r>
      </m:oMath>
      <w:r w:rsidR="001B59ED">
        <w:t xml:space="preserve"> and </w:t>
      </w:r>
      <m:oMath>
        <m:sSub>
          <m:sSubPr>
            <m:ctrlPr>
              <w:rPr>
                <w:rFonts w:ascii="Cambria Math" w:hAnsi="Cambria Math"/>
                <w:i/>
              </w:rPr>
            </m:ctrlPr>
          </m:sSubPr>
          <m:e>
            <m:r>
              <w:rPr>
                <w:rFonts w:ascii="Cambria Math" w:hAnsi="Cambria Math"/>
              </w:rPr>
              <m:t>N</m:t>
            </m:r>
          </m:e>
          <m:sub>
            <m:r>
              <w:rPr>
                <w:rFonts w:ascii="Cambria Math" w:hAnsi="Cambria Math"/>
              </w:rPr>
              <m:t>a, disp</m:t>
            </m:r>
          </m:sub>
        </m:sSub>
      </m:oMath>
      <w:r w:rsidR="001B59ED">
        <w:t xml:space="preserve">, and </w:t>
      </w:r>
      <w:r w:rsidR="001B59ED">
        <w:sym w:font="Symbol" w:char="F061"/>
      </w:r>
      <w:r w:rsidR="001B59ED">
        <w:t xml:space="preserve"> is corrective factor &lt;1</w:t>
      </w:r>
      <w:r w:rsidRPr="0038600A">
        <w:t xml:space="preserve">. Then, it is possible to calculate </w:t>
      </w:r>
      <m:oMath>
        <m:sSub>
          <m:sSubPr>
            <m:ctrlPr>
              <w:rPr>
                <w:rFonts w:ascii="Cambria Math" w:hAnsi="Cambria Math"/>
                <w:i/>
              </w:rPr>
            </m:ctrlPr>
          </m:sSubPr>
          <m:e>
            <m:r>
              <w:rPr>
                <w:rFonts w:ascii="Cambria Math" w:hAnsi="Cambria Math"/>
              </w:rPr>
              <m:t>P</m:t>
            </m:r>
          </m:e>
          <m:sub>
            <m:r>
              <w:rPr>
                <w:rFonts w:ascii="Cambria Math" w:hAnsi="Cambria Math"/>
              </w:rPr>
              <m:t>a</m:t>
            </m:r>
          </m:sub>
        </m:sSub>
      </m:oMath>
      <w:r w:rsidR="00090D6A">
        <w:t>​</w:t>
      </w:r>
      <w:r w:rsidRPr="0038600A">
        <w:rPr>
          <w:vertAlign w:val="subscript"/>
        </w:rPr>
        <w:t xml:space="preserve"> </w:t>
      </w:r>
      <w:r w:rsidRPr="0038600A">
        <w:t xml:space="preserve">using the characteristic impeller curves and to determine the gas flow rate </w:t>
      </w:r>
      <m:oMath>
        <m:sSub>
          <m:sSubPr>
            <m:ctrlPr>
              <w:rPr>
                <w:rFonts w:ascii="Cambria Math" w:hAnsi="Cambria Math"/>
                <w:i/>
              </w:rPr>
            </m:ctrlPr>
          </m:sSubPr>
          <m:e>
            <m:r>
              <w:rPr>
                <w:rFonts w:ascii="Cambria Math" w:hAnsi="Cambria Math"/>
              </w:rPr>
              <m:t>Q</m:t>
            </m:r>
          </m:e>
          <m:sub>
            <m:r>
              <w:rPr>
                <w:rFonts w:ascii="Cambria Math" w:hAnsi="Cambria Math"/>
              </w:rPr>
              <m:t>g</m:t>
            </m:r>
          </m:sub>
        </m:sSub>
      </m:oMath>
      <w:r w:rsidRPr="0038600A">
        <w:t xml:space="preserve">(Eq. </w:t>
      </w:r>
      <w:r w:rsidR="0038600A" w:rsidRPr="0038600A">
        <w:t>21</w:t>
      </w:r>
      <w:r w:rsidRPr="0038600A">
        <w:t xml:space="preserve">). </w:t>
      </w:r>
      <w:r w:rsidR="0077302C" w:rsidRPr="0077302C">
        <w:t>Finally, the effective </w:t>
      </w:r>
      <m:oMath>
        <m:sSub>
          <m:sSubPr>
            <m:ctrlPr>
              <w:rPr>
                <w:rFonts w:ascii="Cambria Math" w:hAnsi="Cambria Math"/>
              </w:rPr>
            </m:ctrlPr>
          </m:sSubPr>
          <m:e>
            <m:r>
              <w:rPr>
                <w:rFonts w:ascii="Cambria Math" w:hAnsi="Cambria Math"/>
              </w:rPr>
              <m:t>k</m:t>
            </m:r>
          </m:e>
          <m:sub>
            <m:r>
              <w:rPr>
                <w:rFonts w:ascii="Cambria Math" w:hAnsi="Cambria Math"/>
              </w:rPr>
              <m:t>L</m:t>
            </m:r>
          </m:sub>
        </m:sSub>
        <m:r>
          <w:rPr>
            <w:rFonts w:ascii="Cambria Math" w:hAnsi="Cambria Math"/>
          </w:rPr>
          <m:t>a</m:t>
        </m:r>
      </m:oMath>
      <w:r w:rsidR="0077302C" w:rsidRPr="0077302C">
        <w:t> of the system can be calculated using Eq. 22 and verified to be greater than the minimum value required to ensure proper system operation. If this condition is not satisfied, the impeller rotational speed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0077302C" w:rsidRPr="0077302C">
        <w:t> can be increased and the procedure repeated. Although this results in a higher power demand, it positively enhances the mass transfer coefficient.</w:t>
      </w:r>
    </w:p>
    <w:p w14:paraId="677EBFF0" w14:textId="2D6009A2" w:rsidR="00600535" w:rsidRPr="0038600A" w:rsidRDefault="00D0559E" w:rsidP="00BD0A90">
      <w:pPr>
        <w:pStyle w:val="CETHeading1"/>
      </w:pPr>
      <w:r w:rsidRPr="0038600A">
        <w:t>Results and discussion</w:t>
      </w:r>
    </w:p>
    <w:p w14:paraId="1F96CA21" w14:textId="11FBD79B" w:rsidR="00600535" w:rsidRDefault="000F5566" w:rsidP="00FA5F5F">
      <w:pPr>
        <w:pStyle w:val="CETheadingx"/>
      </w:pPr>
      <w:r>
        <w:t>Fitting of the kinetic parameters</w:t>
      </w:r>
    </w:p>
    <w:p w14:paraId="064E194D" w14:textId="216D5926" w:rsidR="00324FE3" w:rsidRPr="00324FE3" w:rsidRDefault="00324FE3" w:rsidP="00324FE3">
      <w:pPr>
        <w:pStyle w:val="CETBodytext"/>
        <w:rPr>
          <w:lang w:eastAsia="en-GB"/>
        </w:rPr>
      </w:pPr>
      <w:r w:rsidRPr="00324FE3">
        <w:rPr>
          <w:lang w:eastAsia="en-GB"/>
        </w:rPr>
        <w:t>The kinetic parameters and yield coefficients were estimated using the model described in Section 2.1; the results are reported in Table 1 and Table 2, respectively. Since no experimental data on oxygen were available, the yield coefficients </w:t>
      </w:r>
      <m:oMath>
        <m:sSub>
          <m:sSubPr>
            <m:ctrlPr>
              <w:rPr>
                <w:rFonts w:ascii="Cambria Math" w:hAnsi="Cambria Math"/>
                <w:lang w:eastAsia="en-GB"/>
              </w:rPr>
            </m:ctrlPr>
          </m:sSubPr>
          <m:e>
            <m:r>
              <w:rPr>
                <w:rFonts w:ascii="Cambria Math" w:hAnsi="Cambria Math"/>
                <w:lang w:eastAsia="en-GB"/>
              </w:rPr>
              <m:t>Y</m:t>
            </m:r>
          </m:e>
          <m:sub>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m:t>
            </m:r>
            <m:r>
              <w:rPr>
                <w:rFonts w:ascii="Cambria Math" w:hAnsi="Cambria Math"/>
                <w:lang w:eastAsia="en-GB"/>
              </w:rPr>
              <m:t>Glc</m:t>
            </m:r>
          </m:sub>
        </m:sSub>
      </m:oMath>
      <w:r w:rsidRPr="00324FE3">
        <w:rPr>
          <w:lang w:eastAsia="en-GB"/>
        </w:rPr>
        <w:t> and </w:t>
      </w:r>
      <m:oMath>
        <m:sSub>
          <m:sSubPr>
            <m:ctrlPr>
              <w:rPr>
                <w:rFonts w:ascii="Cambria Math" w:hAnsi="Cambria Math"/>
                <w:lang w:eastAsia="en-GB"/>
              </w:rPr>
            </m:ctrlPr>
          </m:sSubPr>
          <m:e>
            <m:r>
              <w:rPr>
                <w:rFonts w:ascii="Cambria Math" w:hAnsi="Cambria Math"/>
                <w:lang w:eastAsia="en-GB"/>
              </w:rPr>
              <m:t>Y</m:t>
            </m:r>
          </m:e>
          <m:sub>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m:t>
            </m:r>
            <m:r>
              <w:rPr>
                <w:rFonts w:ascii="Cambria Math" w:hAnsi="Cambria Math"/>
                <w:lang w:eastAsia="en-GB"/>
              </w:rPr>
              <m:t>Gln</m:t>
            </m:r>
          </m:sub>
        </m:sSub>
      </m:oMath>
      <w:r w:rsidRPr="00324FE3">
        <w:rPr>
          <w:lang w:eastAsia="en-GB"/>
        </w:rPr>
        <w:t> were determined according to stoichiometric considerations.</w:t>
      </w:r>
      <w:r>
        <w:rPr>
          <w:lang w:eastAsia="en-GB"/>
        </w:rPr>
        <w:t xml:space="preserve"> </w:t>
      </w:r>
      <w:r w:rsidRPr="00324FE3">
        <w:rPr>
          <w:lang w:eastAsia="en-GB"/>
        </w:rPr>
        <w:t>For typical aerobic CHO cell systems, </w:t>
      </w:r>
      <m:oMath>
        <m:sSub>
          <m:sSubPr>
            <m:ctrlPr>
              <w:rPr>
                <w:rFonts w:ascii="Cambria Math" w:hAnsi="Cambria Math"/>
                <w:lang w:eastAsia="en-GB"/>
              </w:rPr>
            </m:ctrlPr>
          </m:sSubPr>
          <m:e>
            <m:r>
              <w:rPr>
                <w:rFonts w:ascii="Cambria Math" w:hAnsi="Cambria Math"/>
                <w:lang w:eastAsia="en-GB"/>
              </w:rPr>
              <m:t>γ</m:t>
            </m:r>
          </m:e>
          <m:sub>
            <m:r>
              <w:rPr>
                <w:rFonts w:ascii="Cambria Math" w:hAnsi="Cambria Math"/>
                <w:lang w:eastAsia="en-GB"/>
              </w:rPr>
              <m:t>aer</m:t>
            </m:r>
          </m:sub>
        </m:sSub>
        <m:r>
          <w:rPr>
            <w:rFonts w:ascii="Cambria Math" w:hAnsi="Cambria Math"/>
            <w:lang w:eastAsia="en-GB"/>
          </w:rPr>
          <m:t>=0.8</m:t>
        </m:r>
      </m:oMath>
      <w:r w:rsidRPr="00324FE3">
        <w:rPr>
          <w:lang w:eastAsia="en-GB"/>
        </w:rPr>
        <w:t> and </w:t>
      </w:r>
      <m:oMath>
        <m:sSub>
          <m:sSubPr>
            <m:ctrlPr>
              <w:rPr>
                <w:rFonts w:ascii="Cambria Math" w:hAnsi="Cambria Math"/>
                <w:lang w:eastAsia="en-GB"/>
              </w:rPr>
            </m:ctrlPr>
          </m:sSubPr>
          <m:e>
            <m:r>
              <w:rPr>
                <w:rFonts w:ascii="Cambria Math" w:hAnsi="Cambria Math"/>
                <w:lang w:eastAsia="en-GB"/>
              </w:rPr>
              <m:t>γ</m:t>
            </m:r>
          </m:e>
          <m:sub>
            <m:r>
              <w:rPr>
                <w:rFonts w:ascii="Cambria Math" w:hAnsi="Cambria Math"/>
                <w:lang w:eastAsia="en-GB"/>
              </w:rPr>
              <m:t>Glc</m:t>
            </m:r>
          </m:sub>
        </m:sSub>
        <m:r>
          <w:rPr>
            <w:rFonts w:ascii="Cambria Math" w:hAnsi="Cambria Math"/>
            <w:lang w:eastAsia="en-GB"/>
          </w:rPr>
          <m:t>=0.7</m:t>
        </m:r>
      </m:oMath>
      <w:r w:rsidRPr="00324FE3">
        <w:rPr>
          <w:lang w:eastAsia="en-GB"/>
        </w:rPr>
        <w:t>. Finally, the </w:t>
      </w:r>
      <m:oMath>
        <m:sSub>
          <m:sSubPr>
            <m:ctrlPr>
              <w:rPr>
                <w:rFonts w:ascii="Cambria Math" w:hAnsi="Cambria Math"/>
                <w:lang w:eastAsia="en-GB"/>
              </w:rPr>
            </m:ctrlPr>
          </m:sSubPr>
          <m:e>
            <m:r>
              <w:rPr>
                <w:rFonts w:ascii="Cambria Math" w:hAnsi="Cambria Math"/>
                <w:lang w:eastAsia="en-GB"/>
              </w:rPr>
              <m:t>k</m:t>
            </m:r>
          </m:e>
          <m:sub>
            <m:r>
              <w:rPr>
                <w:rFonts w:ascii="Cambria Math" w:hAnsi="Cambria Math"/>
                <w:lang w:eastAsia="en-GB"/>
              </w:rPr>
              <m:t>L</m:t>
            </m:r>
          </m:sub>
        </m:sSub>
        <m:r>
          <w:rPr>
            <w:rFonts w:ascii="Cambria Math" w:hAnsi="Cambria Math"/>
            <w:lang w:eastAsia="en-GB"/>
          </w:rPr>
          <m:t>a</m:t>
        </m:r>
      </m:oMath>
      <w:r w:rsidRPr="00324FE3">
        <w:rPr>
          <w:lang w:eastAsia="en-GB"/>
        </w:rPr>
        <w:t xml:space="preserve"> value was assumed to be </w:t>
      </w:r>
      <w:r w:rsidR="0046546E">
        <w:rPr>
          <w:lang w:eastAsia="en-GB"/>
        </w:rPr>
        <w:t>0.0</w:t>
      </w:r>
      <w:r w:rsidR="00E75383">
        <w:rPr>
          <w:lang w:eastAsia="en-GB"/>
        </w:rPr>
        <w:t>111</w:t>
      </w:r>
      <w:r w:rsidRPr="00324FE3">
        <w:rPr>
          <w:lang w:eastAsia="en-GB"/>
        </w:rPr>
        <w:t xml:space="preserve"> </w:t>
      </w:r>
      <w:r w:rsidR="00E75383">
        <w:rPr>
          <w:lang w:eastAsia="en-GB"/>
        </w:rPr>
        <w:t>s</w:t>
      </w:r>
      <w:r>
        <w:rPr>
          <w:vertAlign w:val="superscript"/>
          <w:lang w:eastAsia="en-GB"/>
        </w:rPr>
        <w:t>-1</w:t>
      </w:r>
      <w:r w:rsidRPr="00324FE3">
        <w:rPr>
          <w:lang w:eastAsia="en-GB"/>
        </w:rPr>
        <w:t>, which is representative of laboratory-scale batch bioreactors (Moucha et al., 2003).</w:t>
      </w:r>
    </w:p>
    <w:p w14:paraId="3109BE22" w14:textId="1305F420" w:rsidR="006F244A" w:rsidRPr="00B57B36" w:rsidRDefault="006F244A" w:rsidP="006F244A">
      <w:pPr>
        <w:pStyle w:val="CETTabletitle"/>
      </w:pPr>
      <w:r w:rsidRPr="00B57B36">
        <w:t>Table 1:</w:t>
      </w:r>
      <w:r w:rsidR="00182565">
        <w:t xml:space="preserve"> Kinetic</w:t>
      </w:r>
      <w:r w:rsidRPr="00B57B36">
        <w:t xml:space="preserve"> </w:t>
      </w:r>
      <w:r w:rsidR="00182565">
        <w:t>f</w:t>
      </w:r>
      <w:r>
        <w:t>itting parameter</w:t>
      </w:r>
      <w:r w:rsidR="00A01F50">
        <w:t>s</w:t>
      </w:r>
      <w:r>
        <w:t xml:space="preserve"> results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72"/>
        <w:gridCol w:w="787"/>
        <w:gridCol w:w="822"/>
        <w:gridCol w:w="821"/>
        <w:gridCol w:w="963"/>
        <w:gridCol w:w="687"/>
        <w:gridCol w:w="688"/>
        <w:gridCol w:w="963"/>
        <w:gridCol w:w="825"/>
        <w:gridCol w:w="688"/>
        <w:gridCol w:w="671"/>
      </w:tblGrid>
      <w:tr w:rsidR="00182565" w:rsidRPr="00B57B36" w14:paraId="0D1287DE" w14:textId="79452B29" w:rsidTr="00182565">
        <w:tc>
          <w:tcPr>
            <w:tcW w:w="872" w:type="dxa"/>
            <w:tcBorders>
              <w:top w:val="single" w:sz="12" w:space="0" w:color="008000"/>
              <w:bottom w:val="single" w:sz="6" w:space="0" w:color="008000"/>
            </w:tcBorders>
            <w:shd w:val="clear" w:color="auto" w:fill="FFFFFF"/>
          </w:tcPr>
          <w:p w14:paraId="5DCFF6FE" w14:textId="286FCD58" w:rsidR="00182565" w:rsidRPr="00182565" w:rsidRDefault="00182565" w:rsidP="00437820">
            <w:pPr>
              <w:pStyle w:val="CETBodytext"/>
              <w:rPr>
                <w:sz w:val="16"/>
                <w:szCs w:val="18"/>
                <w:lang w:val="en-GB"/>
              </w:rPr>
            </w:pPr>
            <w:r w:rsidRPr="00182565">
              <w:rPr>
                <w:sz w:val="16"/>
                <w:szCs w:val="18"/>
                <w:lang w:val="en-GB"/>
              </w:rPr>
              <w:t xml:space="preserve"> </w:t>
            </w:r>
            <m:oMath>
              <m:sSub>
                <m:sSubPr>
                  <m:ctrlPr>
                    <w:rPr>
                      <w:rFonts w:ascii="Cambria Math" w:hAnsi="Cambria Math"/>
                      <w:i/>
                      <w:sz w:val="16"/>
                      <w:szCs w:val="18"/>
                      <w:lang w:val="en-GB"/>
                    </w:rPr>
                  </m:ctrlPr>
                </m:sSubPr>
                <m:e>
                  <m:r>
                    <w:rPr>
                      <w:rFonts w:ascii="Cambria Math" w:hAnsi="Cambria Math"/>
                      <w:sz w:val="16"/>
                      <w:szCs w:val="18"/>
                    </w:rPr>
                    <m:t>μ</m:t>
                  </m:r>
                </m:e>
                <m:sub>
                  <m:r>
                    <w:rPr>
                      <w:rFonts w:ascii="Cambria Math" w:hAnsi="Cambria Math"/>
                      <w:sz w:val="16"/>
                      <w:szCs w:val="18"/>
                    </w:rPr>
                    <m:t>max</m:t>
                  </m:r>
                </m:sub>
              </m:sSub>
            </m:oMath>
            <w:r w:rsidRPr="00182565">
              <w:rPr>
                <w:sz w:val="16"/>
                <w:szCs w:val="18"/>
                <w:lang w:val="en-GB"/>
              </w:rPr>
              <w:t xml:space="preserve"> [h</w:t>
            </w:r>
            <w:r w:rsidRPr="00182565">
              <w:rPr>
                <w:sz w:val="16"/>
                <w:szCs w:val="18"/>
                <w:vertAlign w:val="superscript"/>
                <w:lang w:val="en-GB"/>
              </w:rPr>
              <w:t>-1</w:t>
            </w:r>
            <w:r w:rsidRPr="00182565">
              <w:rPr>
                <w:sz w:val="16"/>
                <w:szCs w:val="18"/>
                <w:lang w:val="en-GB"/>
              </w:rPr>
              <w:t>]</w:t>
            </w:r>
          </w:p>
        </w:tc>
        <w:tc>
          <w:tcPr>
            <w:tcW w:w="787" w:type="dxa"/>
            <w:tcBorders>
              <w:top w:val="single" w:sz="12" w:space="0" w:color="008000"/>
              <w:bottom w:val="single" w:sz="4" w:space="0" w:color="auto"/>
            </w:tcBorders>
            <w:shd w:val="clear" w:color="auto" w:fill="FFFFFF"/>
          </w:tcPr>
          <w:p w14:paraId="2E979F20" w14:textId="4B47CFF5" w:rsidR="00182565" w:rsidRPr="00182565" w:rsidRDefault="00000000" w:rsidP="00437820">
            <w:pPr>
              <w:pStyle w:val="CETBodytext"/>
              <w:rPr>
                <w:rFonts w:cs="Arial"/>
                <w:i/>
                <w:sz w:val="16"/>
                <w:szCs w:val="18"/>
              </w:rPr>
            </w:pPr>
            <m:oMath>
              <m:sSub>
                <m:sSubPr>
                  <m:ctrlPr>
                    <w:rPr>
                      <w:rFonts w:ascii="Cambria Math" w:hAnsi="Cambria Math"/>
                      <w:i/>
                      <w:sz w:val="16"/>
                      <w:szCs w:val="18"/>
                      <w:lang w:val="en-GB"/>
                    </w:rPr>
                  </m:ctrlPr>
                </m:sSubPr>
                <m:e>
                  <m:r>
                    <w:rPr>
                      <w:rFonts w:ascii="Cambria Math" w:hAnsi="Cambria Math"/>
                      <w:sz w:val="16"/>
                      <w:szCs w:val="18"/>
                    </w:rPr>
                    <m:t>μ</m:t>
                  </m:r>
                </m:e>
                <m:sub>
                  <m:r>
                    <w:rPr>
                      <w:rFonts w:ascii="Cambria Math" w:hAnsi="Cambria Math"/>
                      <w:sz w:val="16"/>
                      <w:szCs w:val="18"/>
                    </w:rPr>
                    <m:t>Lac</m:t>
                  </m:r>
                </m:sub>
              </m:sSub>
            </m:oMath>
            <w:r w:rsidR="00182565" w:rsidRPr="00182565">
              <w:rPr>
                <w:sz w:val="16"/>
                <w:szCs w:val="18"/>
                <w:lang w:val="en-GB"/>
              </w:rPr>
              <w:t xml:space="preserve"> [h</w:t>
            </w:r>
            <w:r w:rsidR="00182565" w:rsidRPr="00182565">
              <w:rPr>
                <w:sz w:val="16"/>
                <w:szCs w:val="18"/>
                <w:vertAlign w:val="superscript"/>
                <w:lang w:val="en-GB"/>
              </w:rPr>
              <w:t>-1</w:t>
            </w:r>
            <w:r w:rsidR="00182565" w:rsidRPr="00182565">
              <w:rPr>
                <w:sz w:val="16"/>
                <w:szCs w:val="18"/>
                <w:lang w:val="en-GB"/>
              </w:rPr>
              <w:t>]</w:t>
            </w:r>
          </w:p>
        </w:tc>
        <w:tc>
          <w:tcPr>
            <w:tcW w:w="822" w:type="dxa"/>
            <w:tcBorders>
              <w:top w:val="single" w:sz="12" w:space="0" w:color="008000"/>
              <w:bottom w:val="single" w:sz="6" w:space="0" w:color="008000"/>
            </w:tcBorders>
            <w:shd w:val="clear" w:color="auto" w:fill="FFFFFF"/>
          </w:tcPr>
          <w:p w14:paraId="0E43438C" w14:textId="512FB74B" w:rsidR="00182565" w:rsidRPr="00182565" w:rsidRDefault="00000000" w:rsidP="00437820">
            <w:pPr>
              <w:pStyle w:val="CETBodytext"/>
              <w:rPr>
                <w:sz w:val="16"/>
                <w:szCs w:val="18"/>
                <w:lang w:val="en-GB"/>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Glc</m:t>
                  </m:r>
                </m:sub>
              </m:sSub>
            </m:oMath>
            <w:r w:rsidR="00182565" w:rsidRPr="00182565">
              <w:rPr>
                <w:sz w:val="16"/>
                <w:szCs w:val="18"/>
              </w:rPr>
              <w:t xml:space="preserve"> [g/L]</w:t>
            </w:r>
          </w:p>
        </w:tc>
        <w:tc>
          <w:tcPr>
            <w:tcW w:w="821" w:type="dxa"/>
            <w:tcBorders>
              <w:top w:val="single" w:sz="12" w:space="0" w:color="008000"/>
              <w:bottom w:val="single" w:sz="6" w:space="0" w:color="008000"/>
            </w:tcBorders>
            <w:shd w:val="clear" w:color="auto" w:fill="FFFFFF"/>
          </w:tcPr>
          <w:p w14:paraId="4582FA19" w14:textId="2BC7ECC7" w:rsidR="00182565" w:rsidRPr="00182565" w:rsidRDefault="00000000" w:rsidP="00437820">
            <w:pPr>
              <w:pStyle w:val="CETBodytext"/>
              <w:rPr>
                <w:sz w:val="16"/>
                <w:szCs w:val="18"/>
                <w:lang w:val="en-GB"/>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Gln</m:t>
                  </m:r>
                </m:sub>
              </m:sSub>
            </m:oMath>
            <w:r w:rsidR="00182565" w:rsidRPr="00182565">
              <w:rPr>
                <w:sz w:val="16"/>
                <w:szCs w:val="18"/>
              </w:rPr>
              <w:t xml:space="preserve"> [g/L]</w:t>
            </w:r>
          </w:p>
        </w:tc>
        <w:tc>
          <w:tcPr>
            <w:tcW w:w="963" w:type="dxa"/>
            <w:tcBorders>
              <w:top w:val="single" w:sz="12" w:space="0" w:color="008000"/>
              <w:bottom w:val="single" w:sz="6" w:space="0" w:color="008000"/>
            </w:tcBorders>
            <w:shd w:val="clear" w:color="auto" w:fill="FFFFFF"/>
          </w:tcPr>
          <w:p w14:paraId="4CC15950" w14:textId="7A6A3590" w:rsidR="00182565" w:rsidRPr="00182565" w:rsidRDefault="00000000" w:rsidP="00437820">
            <w:pPr>
              <w:pStyle w:val="CETBodytext"/>
              <w:ind w:right="-1"/>
              <w:rPr>
                <w:rFonts w:cs="Arial"/>
                <w:sz w:val="16"/>
                <w:szCs w:val="18"/>
                <w:lang w:val="en-GB"/>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anaer</m:t>
                  </m:r>
                </m:sub>
              </m:sSub>
            </m:oMath>
            <w:r w:rsidR="00182565" w:rsidRPr="00182565">
              <w:rPr>
                <w:rFonts w:cs="Arial"/>
                <w:sz w:val="16"/>
                <w:szCs w:val="18"/>
              </w:rPr>
              <w:t xml:space="preserve"> [g/L]</w:t>
            </w:r>
          </w:p>
        </w:tc>
        <w:tc>
          <w:tcPr>
            <w:tcW w:w="687" w:type="dxa"/>
            <w:tcBorders>
              <w:top w:val="single" w:sz="12" w:space="0" w:color="008000"/>
              <w:bottom w:val="single" w:sz="6" w:space="0" w:color="008000"/>
            </w:tcBorders>
            <w:shd w:val="clear" w:color="auto" w:fill="FFFFFF"/>
          </w:tcPr>
          <w:p w14:paraId="308C2FCD" w14:textId="2108382F" w:rsidR="00182565" w:rsidRPr="00182565" w:rsidRDefault="00000000" w:rsidP="00437820">
            <w:pPr>
              <w:pStyle w:val="CETBodytext"/>
              <w:ind w:right="-1"/>
              <w:rPr>
                <w:rFonts w:cs="Arial"/>
                <w:sz w:val="16"/>
                <w:szCs w:val="18"/>
                <w:lang w:val="en-GB"/>
              </w:rPr>
            </w:pPr>
            <m:oMath>
              <m:sSub>
                <m:sSubPr>
                  <m:ctrlPr>
                    <w:rPr>
                      <w:rFonts w:ascii="Cambria Math" w:hAnsi="Cambria Math"/>
                      <w:sz w:val="16"/>
                      <w:szCs w:val="18"/>
                    </w:rPr>
                  </m:ctrlPr>
                </m:sSubPr>
                <m:e>
                  <m:r>
                    <w:rPr>
                      <w:rFonts w:ascii="Cambria Math" w:hAnsi="Cambria Math"/>
                      <w:sz w:val="16"/>
                      <w:szCs w:val="18"/>
                    </w:rPr>
                    <m:t>K</m:t>
                  </m:r>
                </m:e>
                <m:sub>
                  <m:sSub>
                    <m:sSubPr>
                      <m:ctrlPr>
                        <w:rPr>
                          <w:rFonts w:ascii="Cambria Math" w:hAnsi="Cambria Math"/>
                          <w:i/>
                          <w:sz w:val="16"/>
                          <w:szCs w:val="18"/>
                        </w:rPr>
                      </m:ctrlPr>
                    </m:sSubPr>
                    <m:e>
                      <m:r>
                        <w:rPr>
                          <w:rFonts w:ascii="Cambria Math" w:hAnsi="Cambria Math"/>
                          <w:sz w:val="16"/>
                          <w:szCs w:val="18"/>
                        </w:rPr>
                        <m:t>O</m:t>
                      </m:r>
                    </m:e>
                    <m:sub>
                      <m:r>
                        <w:rPr>
                          <w:rFonts w:ascii="Cambria Math" w:hAnsi="Cambria Math"/>
                          <w:sz w:val="16"/>
                          <w:szCs w:val="18"/>
                        </w:rPr>
                        <m:t>2</m:t>
                      </m:r>
                    </m:sub>
                  </m:sSub>
                </m:sub>
              </m:sSub>
            </m:oMath>
            <w:r w:rsidR="00182565" w:rsidRPr="00182565">
              <w:rPr>
                <w:rFonts w:cs="Arial"/>
                <w:sz w:val="16"/>
                <w:szCs w:val="18"/>
              </w:rPr>
              <w:t xml:space="preserve"> [g/L]</w:t>
            </w:r>
          </w:p>
        </w:tc>
        <w:tc>
          <w:tcPr>
            <w:tcW w:w="688" w:type="dxa"/>
            <w:tcBorders>
              <w:top w:val="single" w:sz="12" w:space="0" w:color="008000"/>
              <w:bottom w:val="single" w:sz="4" w:space="0" w:color="auto"/>
            </w:tcBorders>
          </w:tcPr>
          <w:p w14:paraId="185BEB13" w14:textId="059C0F9A" w:rsidR="00182565" w:rsidRPr="00182565" w:rsidRDefault="00000000" w:rsidP="00437820">
            <w:pPr>
              <w:pStyle w:val="CETBodytext"/>
              <w:ind w:right="-1"/>
              <w:rPr>
                <w:rFonts w:cs="Arial"/>
                <w:sz w:val="16"/>
                <w:szCs w:val="18"/>
              </w:rPr>
            </w:pPr>
            <m:oMath>
              <m:sSub>
                <m:sSubPr>
                  <m:ctrlPr>
                    <w:rPr>
                      <w:rFonts w:ascii="Cambria Math" w:hAnsi="Cambria Math"/>
                      <w:sz w:val="16"/>
                      <w:szCs w:val="18"/>
                    </w:rPr>
                  </m:ctrlPr>
                </m:sSubPr>
                <m:e>
                  <m:r>
                    <w:rPr>
                      <w:rFonts w:ascii="Cambria Math" w:hAnsi="Cambria Math"/>
                      <w:sz w:val="16"/>
                      <w:szCs w:val="18"/>
                    </w:rPr>
                    <m:t xml:space="preserve"> K</m:t>
                  </m:r>
                </m:e>
                <m:sub>
                  <m:r>
                    <w:rPr>
                      <w:rFonts w:ascii="Cambria Math" w:hAnsi="Cambria Math"/>
                      <w:sz w:val="16"/>
                      <w:szCs w:val="18"/>
                    </w:rPr>
                    <m:t>I</m:t>
                  </m:r>
                </m:sub>
              </m:sSub>
            </m:oMath>
            <w:r w:rsidR="00182565" w:rsidRPr="00182565">
              <w:rPr>
                <w:rFonts w:cs="Arial"/>
                <w:sz w:val="16"/>
                <w:szCs w:val="18"/>
              </w:rPr>
              <w:t xml:space="preserve"> [g/L]</w:t>
            </w:r>
          </w:p>
        </w:tc>
        <w:tc>
          <w:tcPr>
            <w:tcW w:w="963" w:type="dxa"/>
            <w:tcBorders>
              <w:top w:val="single" w:sz="12" w:space="0" w:color="008000"/>
              <w:bottom w:val="single" w:sz="4" w:space="0" w:color="auto"/>
            </w:tcBorders>
          </w:tcPr>
          <w:p w14:paraId="71960523" w14:textId="67C443E4" w:rsidR="00182565" w:rsidRPr="00182565" w:rsidRDefault="00000000" w:rsidP="00437820">
            <w:pPr>
              <w:pStyle w:val="CETBodytext"/>
              <w:ind w:right="-1"/>
              <w:rPr>
                <w:rFonts w:cs="Arial"/>
                <w:sz w:val="16"/>
                <w:szCs w:val="18"/>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I, Amm</m:t>
                  </m:r>
                </m:sub>
              </m:sSub>
            </m:oMath>
            <w:r w:rsidR="00182565" w:rsidRPr="00182565">
              <w:rPr>
                <w:rFonts w:cs="Arial"/>
                <w:sz w:val="16"/>
                <w:szCs w:val="18"/>
              </w:rPr>
              <w:t xml:space="preserve"> [g/L] </w:t>
            </w:r>
          </w:p>
        </w:tc>
        <w:tc>
          <w:tcPr>
            <w:tcW w:w="825" w:type="dxa"/>
            <w:tcBorders>
              <w:top w:val="single" w:sz="12" w:space="0" w:color="008000"/>
              <w:bottom w:val="single" w:sz="4" w:space="0" w:color="auto"/>
            </w:tcBorders>
          </w:tcPr>
          <w:p w14:paraId="7240FBD0" w14:textId="2004AAD1" w:rsidR="00182565" w:rsidRPr="00182565" w:rsidRDefault="00000000" w:rsidP="00437820">
            <w:pPr>
              <w:pStyle w:val="CETBodytext"/>
              <w:ind w:right="-1"/>
              <w:rPr>
                <w:rFonts w:cs="Arial"/>
                <w:sz w:val="16"/>
                <w:szCs w:val="18"/>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I, Lac</m:t>
                  </m:r>
                </m:sub>
              </m:sSub>
            </m:oMath>
            <w:r w:rsidR="00182565" w:rsidRPr="00182565">
              <w:rPr>
                <w:rFonts w:cs="Arial"/>
                <w:sz w:val="16"/>
                <w:szCs w:val="18"/>
              </w:rPr>
              <w:t xml:space="preserve"> [g/L] </w:t>
            </w:r>
          </w:p>
        </w:tc>
        <w:tc>
          <w:tcPr>
            <w:tcW w:w="688" w:type="dxa"/>
            <w:tcBorders>
              <w:top w:val="single" w:sz="12" w:space="0" w:color="008000"/>
              <w:bottom w:val="single" w:sz="4" w:space="0" w:color="auto"/>
            </w:tcBorders>
          </w:tcPr>
          <w:p w14:paraId="187321E7" w14:textId="024986B4" w:rsidR="00182565" w:rsidRPr="00182565" w:rsidRDefault="00000000" w:rsidP="00437820">
            <w:pPr>
              <w:pStyle w:val="CETBodytext"/>
              <w:ind w:right="-1"/>
              <w:rPr>
                <w:rFonts w:cs="Arial"/>
                <w:sz w:val="16"/>
                <w:szCs w:val="18"/>
              </w:rPr>
            </w:pPr>
            <m:oMath>
              <m:sSub>
                <m:sSubPr>
                  <m:ctrlPr>
                    <w:rPr>
                      <w:rFonts w:ascii="Cambria Math" w:hAnsi="Cambria Math"/>
                      <w:sz w:val="16"/>
                      <w:szCs w:val="18"/>
                    </w:rPr>
                  </m:ctrlPr>
                </m:sSubPr>
                <m:e>
                  <m:r>
                    <w:rPr>
                      <w:rFonts w:ascii="Cambria Math" w:hAnsi="Cambria Math"/>
                      <w:sz w:val="16"/>
                      <w:szCs w:val="18"/>
                    </w:rPr>
                    <m:t>K</m:t>
                  </m:r>
                </m:e>
                <m:sub>
                  <m:r>
                    <w:rPr>
                      <w:rFonts w:ascii="Cambria Math" w:hAnsi="Cambria Math"/>
                      <w:sz w:val="16"/>
                      <w:szCs w:val="18"/>
                    </w:rPr>
                    <m:t>lac</m:t>
                  </m:r>
                </m:sub>
              </m:sSub>
            </m:oMath>
            <w:r w:rsidR="00182565" w:rsidRPr="00182565">
              <w:rPr>
                <w:rFonts w:cs="Arial"/>
                <w:sz w:val="16"/>
                <w:szCs w:val="18"/>
              </w:rPr>
              <w:t xml:space="preserve"> [g/L]</w:t>
            </w:r>
          </w:p>
        </w:tc>
        <w:tc>
          <w:tcPr>
            <w:tcW w:w="671" w:type="dxa"/>
            <w:tcBorders>
              <w:top w:val="single" w:sz="12" w:space="0" w:color="008000"/>
              <w:bottom w:val="single" w:sz="4" w:space="0" w:color="auto"/>
            </w:tcBorders>
          </w:tcPr>
          <w:p w14:paraId="6D95BA34" w14:textId="26267D78" w:rsidR="00182565" w:rsidRPr="00182565" w:rsidRDefault="00000000" w:rsidP="00437820">
            <w:pPr>
              <w:pStyle w:val="CETBodytext"/>
              <w:ind w:right="-1"/>
              <w:rPr>
                <w:rFonts w:ascii="Tahoma" w:hAnsi="Tahoma" w:cs="Tahoma"/>
                <w:sz w:val="16"/>
                <w:szCs w:val="18"/>
              </w:rPr>
            </w:pPr>
            <m:oMath>
              <m:sSub>
                <m:sSubPr>
                  <m:ctrlPr>
                    <w:rPr>
                      <w:rFonts w:ascii="Cambria Math" w:hAnsi="Cambria Math"/>
                      <w:sz w:val="16"/>
                      <w:szCs w:val="18"/>
                    </w:rPr>
                  </m:ctrlPr>
                </m:sSubPr>
                <m:e>
                  <m:r>
                    <w:rPr>
                      <w:rFonts w:ascii="Cambria Math" w:hAnsi="Cambria Math"/>
                      <w:sz w:val="16"/>
                      <w:szCs w:val="18"/>
                    </w:rPr>
                    <m:t xml:space="preserve">  K</m:t>
                  </m:r>
                </m:e>
                <m:sub>
                  <m:r>
                    <w:rPr>
                      <w:rFonts w:ascii="Cambria Math" w:hAnsi="Cambria Math"/>
                      <w:sz w:val="16"/>
                      <w:szCs w:val="18"/>
                    </w:rPr>
                    <m:t>g</m:t>
                  </m:r>
                </m:sub>
              </m:sSub>
            </m:oMath>
            <w:r w:rsidR="00182565" w:rsidRPr="00182565">
              <w:rPr>
                <w:rFonts w:cs="Arial"/>
                <w:sz w:val="16"/>
                <w:szCs w:val="18"/>
              </w:rPr>
              <w:t xml:space="preserve"> [g/L]</w:t>
            </w:r>
          </w:p>
        </w:tc>
      </w:tr>
      <w:tr w:rsidR="00182565" w:rsidRPr="00B57B36" w14:paraId="36F19A3F" w14:textId="241555E7" w:rsidTr="00182565">
        <w:tc>
          <w:tcPr>
            <w:tcW w:w="872" w:type="dxa"/>
            <w:shd w:val="clear" w:color="auto" w:fill="FFFFFF"/>
          </w:tcPr>
          <w:p w14:paraId="1AF31290" w14:textId="4F685150" w:rsidR="00182565" w:rsidRPr="00B57B36" w:rsidRDefault="00182565" w:rsidP="00437820">
            <w:pPr>
              <w:pStyle w:val="CETBodytext"/>
              <w:rPr>
                <w:lang w:val="en-GB"/>
              </w:rPr>
            </w:pPr>
            <w:r>
              <w:rPr>
                <w:lang w:val="en-GB"/>
              </w:rPr>
              <w:t>0.14233</w:t>
            </w:r>
          </w:p>
        </w:tc>
        <w:tc>
          <w:tcPr>
            <w:tcW w:w="787" w:type="dxa"/>
            <w:tcBorders>
              <w:top w:val="single" w:sz="4" w:space="0" w:color="auto"/>
            </w:tcBorders>
            <w:shd w:val="clear" w:color="auto" w:fill="FFFFFF"/>
          </w:tcPr>
          <w:p w14:paraId="31F67720" w14:textId="5893D7C8" w:rsidR="00182565" w:rsidRPr="00B57B36" w:rsidRDefault="00182565" w:rsidP="00437820">
            <w:pPr>
              <w:pStyle w:val="CETBodytext"/>
              <w:rPr>
                <w:lang w:val="en-GB"/>
              </w:rPr>
            </w:pPr>
            <w:r>
              <w:rPr>
                <w:lang w:val="en-GB"/>
              </w:rPr>
              <w:t>47.72</w:t>
            </w:r>
          </w:p>
        </w:tc>
        <w:tc>
          <w:tcPr>
            <w:tcW w:w="822" w:type="dxa"/>
            <w:shd w:val="clear" w:color="auto" w:fill="FFFFFF"/>
          </w:tcPr>
          <w:p w14:paraId="7A1BD9A7" w14:textId="65664629" w:rsidR="00182565" w:rsidRPr="00B57B36" w:rsidRDefault="00182565" w:rsidP="00437820">
            <w:pPr>
              <w:pStyle w:val="CETBodytext"/>
              <w:rPr>
                <w:lang w:val="en-GB"/>
              </w:rPr>
            </w:pPr>
            <w:r>
              <w:rPr>
                <w:lang w:val="en-GB"/>
              </w:rPr>
              <w:t>3.01</w:t>
            </w:r>
          </w:p>
        </w:tc>
        <w:tc>
          <w:tcPr>
            <w:tcW w:w="821" w:type="dxa"/>
            <w:shd w:val="clear" w:color="auto" w:fill="FFFFFF"/>
          </w:tcPr>
          <w:p w14:paraId="1979D67A" w14:textId="0CD3F93F" w:rsidR="00182565" w:rsidRPr="00B57B36" w:rsidRDefault="00182565" w:rsidP="00437820">
            <w:pPr>
              <w:pStyle w:val="CETBodytext"/>
              <w:rPr>
                <w:lang w:val="en-GB"/>
              </w:rPr>
            </w:pPr>
            <w:r>
              <w:rPr>
                <w:lang w:val="en-GB"/>
              </w:rPr>
              <w:t>0.496</w:t>
            </w:r>
          </w:p>
        </w:tc>
        <w:tc>
          <w:tcPr>
            <w:tcW w:w="963" w:type="dxa"/>
            <w:shd w:val="clear" w:color="auto" w:fill="FFFFFF"/>
          </w:tcPr>
          <w:p w14:paraId="7225D511" w14:textId="4E8ED5B4" w:rsidR="00182565" w:rsidRPr="00B57B36" w:rsidRDefault="00182565" w:rsidP="00437820">
            <w:pPr>
              <w:pStyle w:val="CETBodytext"/>
              <w:ind w:right="-1"/>
              <w:rPr>
                <w:rFonts w:cs="Arial"/>
                <w:szCs w:val="18"/>
                <w:lang w:val="en-GB"/>
              </w:rPr>
            </w:pPr>
            <w:r>
              <w:rPr>
                <w:rFonts w:cs="Arial"/>
                <w:szCs w:val="18"/>
                <w:lang w:val="en-GB"/>
              </w:rPr>
              <w:t>0.403</w:t>
            </w:r>
          </w:p>
        </w:tc>
        <w:tc>
          <w:tcPr>
            <w:tcW w:w="687" w:type="dxa"/>
            <w:shd w:val="clear" w:color="auto" w:fill="FFFFFF"/>
          </w:tcPr>
          <w:p w14:paraId="306BE9B5" w14:textId="3C79A8D0" w:rsidR="00182565" w:rsidRPr="00B57B36" w:rsidRDefault="00182565" w:rsidP="00437820">
            <w:pPr>
              <w:pStyle w:val="CETBodytext"/>
              <w:ind w:right="-1"/>
              <w:rPr>
                <w:rFonts w:cs="Arial"/>
                <w:szCs w:val="18"/>
                <w:lang w:val="en-GB"/>
              </w:rPr>
            </w:pPr>
            <w:r>
              <w:rPr>
                <w:rFonts w:cs="Arial"/>
                <w:szCs w:val="18"/>
                <w:lang w:val="en-GB"/>
              </w:rPr>
              <w:t>0.05</w:t>
            </w:r>
          </w:p>
        </w:tc>
        <w:tc>
          <w:tcPr>
            <w:tcW w:w="688" w:type="dxa"/>
            <w:tcBorders>
              <w:top w:val="single" w:sz="4" w:space="0" w:color="auto"/>
            </w:tcBorders>
          </w:tcPr>
          <w:p w14:paraId="11BAA853" w14:textId="187BA93D" w:rsidR="00182565" w:rsidRPr="00B57B36" w:rsidRDefault="00F25CD0" w:rsidP="00437820">
            <w:pPr>
              <w:pStyle w:val="CETBodytext"/>
              <w:ind w:right="-1"/>
              <w:rPr>
                <w:rFonts w:cs="Arial"/>
                <w:szCs w:val="18"/>
                <w:lang w:val="en-GB"/>
              </w:rPr>
            </w:pPr>
            <w:r>
              <w:rPr>
                <w:rFonts w:cs="Arial"/>
                <w:szCs w:val="18"/>
                <w:lang w:val="en-GB"/>
              </w:rPr>
              <w:t xml:space="preserve"> </w:t>
            </w:r>
            <w:r w:rsidR="00182565">
              <w:rPr>
                <w:rFonts w:cs="Arial"/>
                <w:szCs w:val="18"/>
                <w:lang w:val="en-GB"/>
              </w:rPr>
              <w:t>5.02</w:t>
            </w:r>
          </w:p>
        </w:tc>
        <w:tc>
          <w:tcPr>
            <w:tcW w:w="963" w:type="dxa"/>
            <w:tcBorders>
              <w:top w:val="single" w:sz="4" w:space="0" w:color="auto"/>
            </w:tcBorders>
          </w:tcPr>
          <w:p w14:paraId="51BBD954" w14:textId="28683C8B" w:rsidR="00182565" w:rsidRPr="00B57B36" w:rsidRDefault="00182565" w:rsidP="00437820">
            <w:pPr>
              <w:pStyle w:val="CETBodytext"/>
              <w:ind w:right="-1"/>
              <w:rPr>
                <w:rFonts w:cs="Arial"/>
                <w:szCs w:val="18"/>
                <w:lang w:val="en-GB"/>
              </w:rPr>
            </w:pPr>
            <w:r>
              <w:rPr>
                <w:rFonts w:cs="Arial"/>
                <w:szCs w:val="18"/>
                <w:lang w:val="en-GB"/>
              </w:rPr>
              <w:t>0.018</w:t>
            </w:r>
          </w:p>
        </w:tc>
        <w:tc>
          <w:tcPr>
            <w:tcW w:w="825" w:type="dxa"/>
            <w:tcBorders>
              <w:top w:val="single" w:sz="4" w:space="0" w:color="auto"/>
            </w:tcBorders>
          </w:tcPr>
          <w:p w14:paraId="7B480A3E" w14:textId="4FBB6238" w:rsidR="00182565" w:rsidRPr="00B57B36" w:rsidRDefault="00182565" w:rsidP="00437820">
            <w:pPr>
              <w:pStyle w:val="CETBodytext"/>
              <w:ind w:right="-1"/>
              <w:rPr>
                <w:rFonts w:cs="Arial"/>
                <w:szCs w:val="18"/>
                <w:lang w:val="en-GB"/>
              </w:rPr>
            </w:pPr>
            <w:r>
              <w:rPr>
                <w:rFonts w:cs="Arial"/>
                <w:szCs w:val="18"/>
                <w:lang w:val="en-GB"/>
              </w:rPr>
              <w:t>0.388</w:t>
            </w:r>
          </w:p>
        </w:tc>
        <w:tc>
          <w:tcPr>
            <w:tcW w:w="688" w:type="dxa"/>
            <w:tcBorders>
              <w:top w:val="single" w:sz="4" w:space="0" w:color="auto"/>
            </w:tcBorders>
          </w:tcPr>
          <w:p w14:paraId="544D70C1" w14:textId="20F601A1" w:rsidR="00182565" w:rsidRPr="00B57B36" w:rsidRDefault="00182565" w:rsidP="00437820">
            <w:pPr>
              <w:pStyle w:val="CETBodytext"/>
              <w:ind w:right="-1"/>
              <w:rPr>
                <w:rFonts w:cs="Arial"/>
                <w:szCs w:val="18"/>
                <w:lang w:val="en-GB"/>
              </w:rPr>
            </w:pPr>
            <w:r>
              <w:rPr>
                <w:rFonts w:cs="Arial"/>
                <w:szCs w:val="18"/>
                <w:lang w:val="en-GB"/>
              </w:rPr>
              <w:t>0.001</w:t>
            </w:r>
          </w:p>
        </w:tc>
        <w:tc>
          <w:tcPr>
            <w:tcW w:w="671" w:type="dxa"/>
            <w:tcBorders>
              <w:top w:val="single" w:sz="4" w:space="0" w:color="auto"/>
            </w:tcBorders>
          </w:tcPr>
          <w:p w14:paraId="618D3FE1" w14:textId="60D2FC24" w:rsidR="00182565" w:rsidRPr="00B57B36" w:rsidRDefault="00182565" w:rsidP="00437820">
            <w:pPr>
              <w:pStyle w:val="CETBodytext"/>
              <w:ind w:right="-1"/>
              <w:rPr>
                <w:rFonts w:cs="Arial"/>
                <w:szCs w:val="18"/>
                <w:lang w:val="en-GB"/>
              </w:rPr>
            </w:pPr>
            <w:r>
              <w:rPr>
                <w:rFonts w:cs="Arial"/>
                <w:szCs w:val="18"/>
                <w:lang w:val="en-GB"/>
              </w:rPr>
              <w:t xml:space="preserve">  1.085</w:t>
            </w:r>
          </w:p>
        </w:tc>
      </w:tr>
    </w:tbl>
    <w:p w14:paraId="5282AD34" w14:textId="4F0F494B" w:rsidR="00A01F50" w:rsidRPr="00B57B36" w:rsidRDefault="00A01F50" w:rsidP="00A01F50">
      <w:pPr>
        <w:pStyle w:val="CETTabletitle"/>
      </w:pPr>
      <w:r w:rsidRPr="00B57B36">
        <w:t xml:space="preserve">Table </w:t>
      </w:r>
      <w:r>
        <w:t>2</w:t>
      </w:r>
      <w:r w:rsidRPr="00B57B36">
        <w:t>:</w:t>
      </w:r>
      <w:r>
        <w:t xml:space="preserve"> Yield coefficient fitting parameters results</w:t>
      </w:r>
      <w:r w:rsidR="00F25CD0">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72"/>
        <w:gridCol w:w="688"/>
        <w:gridCol w:w="851"/>
        <w:gridCol w:w="850"/>
        <w:gridCol w:w="709"/>
      </w:tblGrid>
      <w:tr w:rsidR="00413B00" w:rsidRPr="00B57B36" w14:paraId="66C11522" w14:textId="77777777" w:rsidTr="003921D1">
        <w:tc>
          <w:tcPr>
            <w:tcW w:w="872" w:type="dxa"/>
            <w:tcBorders>
              <w:top w:val="single" w:sz="12" w:space="0" w:color="008000"/>
              <w:bottom w:val="single" w:sz="6" w:space="0" w:color="008000"/>
            </w:tcBorders>
            <w:shd w:val="clear" w:color="auto" w:fill="FFFFFF"/>
          </w:tcPr>
          <w:p w14:paraId="7A3B76E8" w14:textId="2423A395" w:rsidR="00413B00" w:rsidRPr="003921D1" w:rsidRDefault="00413B00" w:rsidP="00437820">
            <w:pPr>
              <w:pStyle w:val="CETBodytext"/>
              <w:rPr>
                <w:sz w:val="16"/>
                <w:szCs w:val="18"/>
                <w:lang w:val="en-GB"/>
              </w:rPr>
            </w:pPr>
            <w:r w:rsidRPr="00182565">
              <w:rPr>
                <w:sz w:val="16"/>
                <w:szCs w:val="18"/>
                <w:lang w:val="en-GB"/>
              </w:rPr>
              <w:t xml:space="preserve"> </w:t>
            </w:r>
            <m:oMath>
              <m:sSub>
                <m:sSubPr>
                  <m:ctrlPr>
                    <w:rPr>
                      <w:rFonts w:ascii="Cambria Math" w:hAnsi="Cambria Math"/>
                      <w:i/>
                      <w:sz w:val="16"/>
                      <w:szCs w:val="18"/>
                      <w:lang w:val="en-GB"/>
                    </w:rPr>
                  </m:ctrlPr>
                </m:sSubPr>
                <m:e>
                  <m:r>
                    <w:rPr>
                      <w:rFonts w:ascii="Cambria Math" w:hAnsi="Cambria Math"/>
                      <w:sz w:val="16"/>
                      <w:szCs w:val="18"/>
                      <w:lang w:val="en-GB"/>
                    </w:rPr>
                    <m:t>Y</m:t>
                  </m:r>
                </m:e>
                <m:sub>
                  <m:r>
                    <w:rPr>
                      <w:rFonts w:ascii="Cambria Math" w:hAnsi="Cambria Math"/>
                      <w:sz w:val="16"/>
                      <w:szCs w:val="18"/>
                      <w:lang w:val="en-GB"/>
                    </w:rPr>
                    <m:t>Glc</m:t>
                  </m:r>
                </m:sub>
              </m:sSub>
            </m:oMath>
          </w:p>
        </w:tc>
        <w:tc>
          <w:tcPr>
            <w:tcW w:w="688" w:type="dxa"/>
            <w:tcBorders>
              <w:top w:val="single" w:sz="12" w:space="0" w:color="008000"/>
              <w:bottom w:val="single" w:sz="4" w:space="0" w:color="auto"/>
            </w:tcBorders>
            <w:shd w:val="clear" w:color="auto" w:fill="FFFFFF"/>
          </w:tcPr>
          <w:p w14:paraId="564DAC60" w14:textId="0CF0C3FC" w:rsidR="00413B00" w:rsidRPr="003921D1" w:rsidRDefault="00000000" w:rsidP="00437820">
            <w:pPr>
              <w:pStyle w:val="CETBodytext"/>
              <w:rPr>
                <w:rFonts w:cs="Arial"/>
                <w:i/>
                <w:sz w:val="16"/>
                <w:szCs w:val="18"/>
              </w:rPr>
            </w:pPr>
            <m:oMathPara>
              <m:oMathParaPr>
                <m:jc m:val="left"/>
              </m:oMathParaPr>
              <m:oMath>
                <m:sSub>
                  <m:sSubPr>
                    <m:ctrlPr>
                      <w:rPr>
                        <w:rFonts w:ascii="Cambria Math" w:hAnsi="Cambria Math"/>
                        <w:i/>
                        <w:sz w:val="16"/>
                        <w:szCs w:val="18"/>
                        <w:lang w:val="en-GB"/>
                      </w:rPr>
                    </m:ctrlPr>
                  </m:sSubPr>
                  <m:e>
                    <m:r>
                      <w:rPr>
                        <w:rFonts w:ascii="Cambria Math" w:hAnsi="Cambria Math"/>
                        <w:sz w:val="16"/>
                        <w:szCs w:val="18"/>
                        <w:lang w:val="en-GB"/>
                      </w:rPr>
                      <m:t>Y</m:t>
                    </m:r>
                  </m:e>
                  <m:sub>
                    <m:r>
                      <w:rPr>
                        <w:rFonts w:ascii="Cambria Math" w:hAnsi="Cambria Math"/>
                        <w:sz w:val="16"/>
                        <w:szCs w:val="18"/>
                        <w:lang w:val="en-GB"/>
                      </w:rPr>
                      <m:t>Gln</m:t>
                    </m:r>
                  </m:sub>
                </m:sSub>
              </m:oMath>
            </m:oMathPara>
          </w:p>
        </w:tc>
        <w:tc>
          <w:tcPr>
            <w:tcW w:w="851" w:type="dxa"/>
            <w:tcBorders>
              <w:top w:val="single" w:sz="12" w:space="0" w:color="008000"/>
              <w:bottom w:val="single" w:sz="6" w:space="0" w:color="008000"/>
            </w:tcBorders>
            <w:shd w:val="clear" w:color="auto" w:fill="FFFFFF"/>
          </w:tcPr>
          <w:p w14:paraId="6DD136EA" w14:textId="0CD379B0" w:rsidR="00413B00" w:rsidRPr="00182565" w:rsidRDefault="00000000" w:rsidP="00437820">
            <w:pPr>
              <w:pStyle w:val="CETBodytext"/>
              <w:ind w:right="-1"/>
              <w:rPr>
                <w:rFonts w:cs="Arial"/>
                <w:sz w:val="16"/>
                <w:szCs w:val="18"/>
                <w:lang w:val="en-GB"/>
              </w:rPr>
            </w:pPr>
            <m:oMathPara>
              <m:oMathParaPr>
                <m:jc m:val="left"/>
              </m:oMathParaPr>
              <m:oMath>
                <m:sSub>
                  <m:sSubPr>
                    <m:ctrlPr>
                      <w:rPr>
                        <w:rFonts w:ascii="Cambria Math" w:hAnsi="Cambria Math"/>
                        <w:i/>
                        <w:sz w:val="16"/>
                        <w:szCs w:val="18"/>
                        <w:lang w:val="en-GB"/>
                      </w:rPr>
                    </m:ctrlPr>
                  </m:sSubPr>
                  <m:e>
                    <m:r>
                      <w:rPr>
                        <w:rFonts w:ascii="Cambria Math" w:hAnsi="Cambria Math"/>
                        <w:sz w:val="16"/>
                        <w:szCs w:val="18"/>
                        <w:lang w:val="en-GB"/>
                      </w:rPr>
                      <m:t>Y</m:t>
                    </m:r>
                  </m:e>
                  <m:sub>
                    <m:r>
                      <w:rPr>
                        <w:rFonts w:ascii="Cambria Math" w:hAnsi="Cambria Math"/>
                        <w:sz w:val="16"/>
                        <w:szCs w:val="18"/>
                        <w:lang w:val="en-GB"/>
                      </w:rPr>
                      <m:t>Lac/Glc</m:t>
                    </m:r>
                  </m:sub>
                </m:sSub>
              </m:oMath>
            </m:oMathPara>
          </w:p>
        </w:tc>
        <w:tc>
          <w:tcPr>
            <w:tcW w:w="850" w:type="dxa"/>
            <w:tcBorders>
              <w:top w:val="single" w:sz="12" w:space="0" w:color="008000"/>
              <w:bottom w:val="single" w:sz="4" w:space="0" w:color="auto"/>
            </w:tcBorders>
            <w:shd w:val="clear" w:color="auto" w:fill="FFFFFF"/>
          </w:tcPr>
          <w:p w14:paraId="0E34A8B2" w14:textId="32AE640B" w:rsidR="00413B00" w:rsidRPr="00182565" w:rsidRDefault="00000000" w:rsidP="00437820">
            <w:pPr>
              <w:pStyle w:val="CETBodytext"/>
              <w:ind w:right="-1"/>
              <w:rPr>
                <w:rFonts w:cs="Arial"/>
                <w:sz w:val="16"/>
                <w:szCs w:val="18"/>
              </w:rPr>
            </w:pPr>
            <m:oMathPara>
              <m:oMathParaPr>
                <m:jc m:val="left"/>
              </m:oMathParaPr>
              <m:oMath>
                <m:sSub>
                  <m:sSubPr>
                    <m:ctrlPr>
                      <w:rPr>
                        <w:rFonts w:ascii="Cambria Math" w:hAnsi="Cambria Math"/>
                        <w:i/>
                        <w:sz w:val="16"/>
                        <w:szCs w:val="18"/>
                        <w:lang w:val="en-GB"/>
                      </w:rPr>
                    </m:ctrlPr>
                  </m:sSubPr>
                  <m:e>
                    <m:r>
                      <w:rPr>
                        <w:rFonts w:ascii="Cambria Math" w:hAnsi="Cambria Math"/>
                        <w:sz w:val="16"/>
                        <w:szCs w:val="18"/>
                        <w:lang w:val="en-GB"/>
                      </w:rPr>
                      <m:t>Y</m:t>
                    </m:r>
                  </m:e>
                  <m:sub>
                    <m:r>
                      <w:rPr>
                        <w:rFonts w:ascii="Cambria Math" w:hAnsi="Cambria Math"/>
                        <w:sz w:val="16"/>
                        <w:szCs w:val="18"/>
                        <w:lang w:val="en-GB"/>
                      </w:rPr>
                      <m:t>Lac/Gln</m:t>
                    </m:r>
                  </m:sub>
                </m:sSub>
              </m:oMath>
            </m:oMathPara>
          </w:p>
        </w:tc>
        <w:tc>
          <w:tcPr>
            <w:tcW w:w="709" w:type="dxa"/>
            <w:tcBorders>
              <w:top w:val="single" w:sz="12" w:space="0" w:color="008000"/>
              <w:bottom w:val="single" w:sz="4" w:space="0" w:color="auto"/>
            </w:tcBorders>
            <w:shd w:val="clear" w:color="auto" w:fill="FFFFFF"/>
          </w:tcPr>
          <w:p w14:paraId="1538678B" w14:textId="09F603F9" w:rsidR="00413B00" w:rsidRPr="003921D1" w:rsidRDefault="00000000" w:rsidP="00437820">
            <w:pPr>
              <w:pStyle w:val="CETBodytext"/>
              <w:ind w:right="-1"/>
              <w:rPr>
                <w:rFonts w:cs="Arial"/>
                <w:sz w:val="16"/>
                <w:szCs w:val="18"/>
              </w:rPr>
            </w:pPr>
            <m:oMathPara>
              <m:oMathParaPr>
                <m:jc m:val="left"/>
              </m:oMathParaPr>
              <m:oMath>
                <m:sSub>
                  <m:sSubPr>
                    <m:ctrlPr>
                      <w:rPr>
                        <w:rFonts w:ascii="Cambria Math" w:hAnsi="Cambria Math"/>
                        <w:i/>
                        <w:sz w:val="16"/>
                        <w:szCs w:val="18"/>
                        <w:lang w:val="en-GB"/>
                      </w:rPr>
                    </m:ctrlPr>
                  </m:sSubPr>
                  <m:e>
                    <m:r>
                      <w:rPr>
                        <w:rFonts w:ascii="Cambria Math" w:hAnsi="Cambria Math"/>
                        <w:sz w:val="16"/>
                        <w:szCs w:val="18"/>
                        <w:lang w:val="en-GB"/>
                      </w:rPr>
                      <m:t>Y</m:t>
                    </m:r>
                  </m:e>
                  <m:sub>
                    <m:r>
                      <w:rPr>
                        <w:rFonts w:ascii="Cambria Math" w:hAnsi="Cambria Math"/>
                        <w:sz w:val="16"/>
                        <w:szCs w:val="18"/>
                        <w:lang w:val="en-GB"/>
                      </w:rPr>
                      <m:t>Amm/Gln</m:t>
                    </m:r>
                  </m:sub>
                </m:sSub>
              </m:oMath>
            </m:oMathPara>
          </w:p>
        </w:tc>
      </w:tr>
      <w:tr w:rsidR="00413B00" w:rsidRPr="00B57B36" w14:paraId="1E75830C" w14:textId="77777777" w:rsidTr="003921D1">
        <w:tc>
          <w:tcPr>
            <w:tcW w:w="872" w:type="dxa"/>
            <w:shd w:val="clear" w:color="auto" w:fill="FFFFFF"/>
          </w:tcPr>
          <w:p w14:paraId="1854B715" w14:textId="0121909B" w:rsidR="00413B00" w:rsidRPr="00B57B36" w:rsidRDefault="00413B00" w:rsidP="00437820">
            <w:pPr>
              <w:pStyle w:val="CETBodytext"/>
              <w:rPr>
                <w:lang w:val="en-GB"/>
              </w:rPr>
            </w:pPr>
            <w:r>
              <w:rPr>
                <w:lang w:val="en-GB"/>
              </w:rPr>
              <w:t>1.1768</w:t>
            </w:r>
          </w:p>
        </w:tc>
        <w:tc>
          <w:tcPr>
            <w:tcW w:w="688" w:type="dxa"/>
            <w:tcBorders>
              <w:top w:val="single" w:sz="4" w:space="0" w:color="auto"/>
            </w:tcBorders>
            <w:shd w:val="clear" w:color="auto" w:fill="FFFFFF"/>
          </w:tcPr>
          <w:p w14:paraId="05007288" w14:textId="6773CDD4" w:rsidR="00413B00" w:rsidRPr="00B57B36" w:rsidRDefault="00413B00" w:rsidP="00437820">
            <w:pPr>
              <w:pStyle w:val="CETBodytext"/>
              <w:rPr>
                <w:lang w:val="en-GB"/>
              </w:rPr>
            </w:pPr>
            <w:r>
              <w:rPr>
                <w:lang w:val="en-GB"/>
              </w:rPr>
              <w:t>1e-4</w:t>
            </w:r>
          </w:p>
        </w:tc>
        <w:tc>
          <w:tcPr>
            <w:tcW w:w="851" w:type="dxa"/>
            <w:shd w:val="clear" w:color="auto" w:fill="FFFFFF"/>
          </w:tcPr>
          <w:p w14:paraId="7368456C" w14:textId="247030A0" w:rsidR="00413B00" w:rsidRPr="00B57B36" w:rsidRDefault="00413B00" w:rsidP="00437820">
            <w:pPr>
              <w:pStyle w:val="CETBodytext"/>
              <w:ind w:right="-1"/>
              <w:rPr>
                <w:rFonts w:cs="Arial"/>
                <w:szCs w:val="18"/>
                <w:lang w:val="en-GB"/>
              </w:rPr>
            </w:pPr>
            <w:r>
              <w:rPr>
                <w:rFonts w:cs="Arial"/>
                <w:szCs w:val="18"/>
                <w:lang w:val="en-GB"/>
              </w:rPr>
              <w:t>03.44e-4</w:t>
            </w:r>
          </w:p>
        </w:tc>
        <w:tc>
          <w:tcPr>
            <w:tcW w:w="850" w:type="dxa"/>
            <w:tcBorders>
              <w:top w:val="single" w:sz="4" w:space="0" w:color="auto"/>
            </w:tcBorders>
            <w:shd w:val="clear" w:color="auto" w:fill="FFFFFF"/>
          </w:tcPr>
          <w:p w14:paraId="023C2BEA" w14:textId="40C0269C" w:rsidR="00413B00" w:rsidRPr="00B57B36" w:rsidRDefault="00413B00" w:rsidP="00437820">
            <w:pPr>
              <w:pStyle w:val="CETBodytext"/>
              <w:ind w:right="-1"/>
              <w:rPr>
                <w:rFonts w:cs="Arial"/>
                <w:szCs w:val="18"/>
                <w:lang w:val="en-GB"/>
              </w:rPr>
            </w:pPr>
            <w:r>
              <w:rPr>
                <w:rFonts w:cs="Arial"/>
                <w:szCs w:val="18"/>
                <w:lang w:val="en-GB"/>
              </w:rPr>
              <w:t>3.85e-4</w:t>
            </w:r>
          </w:p>
        </w:tc>
        <w:tc>
          <w:tcPr>
            <w:tcW w:w="709" w:type="dxa"/>
            <w:tcBorders>
              <w:top w:val="single" w:sz="4" w:space="0" w:color="auto"/>
            </w:tcBorders>
            <w:shd w:val="clear" w:color="auto" w:fill="FFFFFF"/>
          </w:tcPr>
          <w:p w14:paraId="596D54CC" w14:textId="238F8DEF" w:rsidR="00413B00" w:rsidRPr="00B57B36" w:rsidRDefault="00413B00" w:rsidP="00437820">
            <w:pPr>
              <w:pStyle w:val="CETBodytext"/>
              <w:ind w:right="-1"/>
              <w:rPr>
                <w:rFonts w:cs="Arial"/>
                <w:szCs w:val="18"/>
                <w:lang w:val="en-GB"/>
              </w:rPr>
            </w:pPr>
            <w:r>
              <w:rPr>
                <w:rFonts w:cs="Arial"/>
                <w:szCs w:val="18"/>
                <w:lang w:val="en-GB"/>
              </w:rPr>
              <w:t>5.7e-4</w:t>
            </w:r>
          </w:p>
        </w:tc>
      </w:tr>
    </w:tbl>
    <w:p w14:paraId="28363BE6" w14:textId="77777777" w:rsidR="00F51CD3" w:rsidRDefault="00F51CD3" w:rsidP="00F51CD3">
      <w:pPr>
        <w:pStyle w:val="CETBodytext"/>
        <w:rPr>
          <w:lang w:val="en-GB"/>
        </w:rPr>
      </w:pPr>
    </w:p>
    <w:p w14:paraId="1DEC7398" w14:textId="2C51D4D9" w:rsidR="00324FE3" w:rsidRPr="00324FE3" w:rsidRDefault="00324FE3" w:rsidP="00324FE3">
      <w:pPr>
        <w:pStyle w:val="CETBodytext"/>
        <w:rPr>
          <w:lang w:eastAsia="en-GB"/>
        </w:rPr>
      </w:pPr>
      <w:r w:rsidRPr="00324FE3">
        <w:rPr>
          <w:lang w:eastAsia="en-GB"/>
        </w:rPr>
        <w:t xml:space="preserve">Figure 2 compares the model predictions with the experimental data. Overall, the model </w:t>
      </w:r>
      <w:r>
        <w:rPr>
          <w:lang w:eastAsia="en-GB"/>
        </w:rPr>
        <w:t>represent</w:t>
      </w:r>
      <w:r w:rsidRPr="00324FE3">
        <w:rPr>
          <w:lang w:eastAsia="en-GB"/>
        </w:rPr>
        <w:t>s the system behavior satisfactorily for all</w:t>
      </w:r>
      <w:r w:rsidR="000B1E20">
        <w:rPr>
          <w:lang w:eastAsia="en-GB"/>
        </w:rPr>
        <w:t xml:space="preserve"> the</w:t>
      </w:r>
      <w:r w:rsidRPr="00324FE3">
        <w:rPr>
          <w:lang w:eastAsia="en-GB"/>
        </w:rPr>
        <w:t xml:space="preserve"> species, with only a slight overestimation of glucose consumption (Figure 2a).</w:t>
      </w:r>
      <w:r>
        <w:rPr>
          <w:lang w:eastAsia="en-GB"/>
        </w:rPr>
        <w:t xml:space="preserve"> </w:t>
      </w:r>
      <w:r w:rsidRPr="00324FE3">
        <w:rPr>
          <w:lang w:eastAsia="en-GB"/>
        </w:rPr>
        <w:t>In the experimental study, particular emphasis was placed on limiting the production of Amm and Lac. Therefore, the validated model can now be used to simulate the system under the desired operating conditions.</w:t>
      </w:r>
    </w:p>
    <w:p w14:paraId="5939791C" w14:textId="375AF58D" w:rsidR="000F5566" w:rsidRDefault="006F7438" w:rsidP="006F7438">
      <w:pPr>
        <w:pStyle w:val="CETBodytext"/>
        <w:jc w:val="center"/>
      </w:pPr>
      <w:r w:rsidRPr="006F7438">
        <w:rPr>
          <w:lang w:val="en-GB"/>
        </w:rPr>
        <w:lastRenderedPageBreak/>
        <w:drawing>
          <wp:inline distT="0" distB="0" distL="0" distR="0" wp14:anchorId="378AF04C" wp14:editId="0491134E">
            <wp:extent cx="3243295" cy="2502877"/>
            <wp:effectExtent l="0" t="0" r="0" b="0"/>
            <wp:docPr id="52976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64618" name=""/>
                    <pic:cNvPicPr/>
                  </pic:nvPicPr>
                  <pic:blipFill>
                    <a:blip r:embed="rId11"/>
                    <a:stretch>
                      <a:fillRect/>
                    </a:stretch>
                  </pic:blipFill>
                  <pic:spPr>
                    <a:xfrm>
                      <a:off x="0" y="0"/>
                      <a:ext cx="3348080" cy="2583740"/>
                    </a:xfrm>
                    <a:prstGeom prst="rect">
                      <a:avLst/>
                    </a:prstGeom>
                  </pic:spPr>
                </pic:pic>
              </a:graphicData>
            </a:graphic>
          </wp:inline>
        </w:drawing>
      </w:r>
    </w:p>
    <w:p w14:paraId="3548C775" w14:textId="55DB02DE" w:rsidR="006F244A" w:rsidRDefault="006F244A" w:rsidP="000F5566">
      <w:pPr>
        <w:pStyle w:val="CETBodytext"/>
        <w:rPr>
          <w:rStyle w:val="CETCaptionCarattere"/>
        </w:rPr>
      </w:pPr>
      <w:r w:rsidRPr="00BD077D">
        <w:rPr>
          <w:rStyle w:val="CETCaptionCarattere"/>
        </w:rPr>
        <w:t xml:space="preserve">Figure </w:t>
      </w:r>
      <w:r>
        <w:rPr>
          <w:rStyle w:val="CETCaptionCarattere"/>
        </w:rPr>
        <w:t>2</w:t>
      </w:r>
      <w:r w:rsidRPr="00BD077D">
        <w:rPr>
          <w:rStyle w:val="CETCaptionCarattere"/>
        </w:rPr>
        <w:t xml:space="preserve">: </w:t>
      </w:r>
      <w:r w:rsidR="00DA7426" w:rsidRPr="00DA7426">
        <w:rPr>
          <w:rStyle w:val="CETCaptionCarattere"/>
        </w:rPr>
        <w:t>Experimental profiles of substrates and catabolites from Noh et al. (2016) (dots) compared with model predictions (solid lines).</w:t>
      </w:r>
    </w:p>
    <w:p w14:paraId="5665F47C" w14:textId="432634A5" w:rsidR="00EB4D5B" w:rsidRDefault="000F5566" w:rsidP="00EB4D5B">
      <w:pPr>
        <w:pStyle w:val="CETheadingx"/>
      </w:pPr>
      <w:r>
        <w:t>Scale up case study</w:t>
      </w:r>
    </w:p>
    <w:p w14:paraId="3D3577C3" w14:textId="2D92BD94" w:rsidR="00324FE3" w:rsidRDefault="00324FE3" w:rsidP="00324FE3">
      <w:pPr>
        <w:pStyle w:val="CETBodytext"/>
        <w:rPr>
          <w:lang w:eastAsia="en-GB"/>
        </w:rPr>
      </w:pPr>
      <w:r w:rsidRPr="00324FE3">
        <w:rPr>
          <w:lang w:eastAsia="en-GB"/>
        </w:rPr>
        <w:t>The case study considers a typical industrial production scale, with bioreactors of 5000 L. From the model simulations, it was possible to determine the operational inputs required</w:t>
      </w:r>
      <w:r>
        <w:rPr>
          <w:lang w:eastAsia="en-GB"/>
        </w:rPr>
        <w:t xml:space="preserve">, </w:t>
      </w:r>
      <w:r w:rsidRPr="00324FE3">
        <w:rPr>
          <w:lang w:eastAsia="en-GB"/>
        </w:rPr>
        <w:t>according to the scheme in Figure 1</w:t>
      </w:r>
      <w:r>
        <w:rPr>
          <w:lang w:eastAsia="en-GB"/>
        </w:rPr>
        <w:t xml:space="preserve">, </w:t>
      </w:r>
      <w:r w:rsidRPr="00324FE3">
        <w:rPr>
          <w:lang w:eastAsia="en-GB"/>
        </w:rPr>
        <w:t>to calculate the minimum </w:t>
      </w:r>
      <m:oMath>
        <m:sSub>
          <m:sSubPr>
            <m:ctrlPr>
              <w:rPr>
                <w:rFonts w:ascii="Cambria Math" w:hAnsi="Cambria Math"/>
                <w:lang w:eastAsia="en-GB"/>
              </w:rPr>
            </m:ctrlPr>
          </m:sSubPr>
          <m:e>
            <m:r>
              <w:rPr>
                <w:rFonts w:ascii="Cambria Math" w:hAnsi="Cambria Math"/>
                <w:lang w:eastAsia="en-GB"/>
              </w:rPr>
              <m:t>k</m:t>
            </m:r>
          </m:e>
          <m:sub>
            <m:r>
              <w:rPr>
                <w:rFonts w:ascii="Cambria Math" w:hAnsi="Cambria Math"/>
                <w:lang w:eastAsia="en-GB"/>
              </w:rPr>
              <m:t>L</m:t>
            </m:r>
          </m:sub>
        </m:sSub>
        <m:r>
          <w:rPr>
            <w:rFonts w:ascii="Cambria Math" w:hAnsi="Cambria Math"/>
            <w:lang w:eastAsia="en-GB"/>
          </w:rPr>
          <m:t>a</m:t>
        </m:r>
      </m:oMath>
      <w:r w:rsidRPr="00324FE3">
        <w:rPr>
          <w:lang w:eastAsia="en-GB"/>
        </w:rPr>
        <w:t>; these values are reported in Table 3. The dissolved oxygen (DO) concentration was set at 50% of the saturation value (Ahlebooth et al., 2021).</w:t>
      </w:r>
      <w:r w:rsidR="00557728">
        <w:rPr>
          <w:lang w:eastAsia="en-GB"/>
        </w:rPr>
        <w:t xml:space="preserve"> Using</w:t>
      </w:r>
      <w:r w:rsidRPr="00324FE3">
        <w:rPr>
          <w:lang w:eastAsia="en-GB"/>
        </w:rPr>
        <w:t xml:space="preserve"> the procedure </w:t>
      </w:r>
      <w:r w:rsidR="00557728">
        <w:rPr>
          <w:lang w:eastAsia="en-GB"/>
        </w:rPr>
        <w:t>of</w:t>
      </w:r>
      <w:r w:rsidRPr="00324FE3">
        <w:rPr>
          <w:lang w:eastAsia="en-GB"/>
        </w:rPr>
        <w:t xml:space="preserve"> the right column of Figure 1, the minimum </w:t>
      </w:r>
      <m:oMath>
        <m:sSub>
          <m:sSubPr>
            <m:ctrlPr>
              <w:rPr>
                <w:rFonts w:ascii="Cambria Math" w:hAnsi="Cambria Math"/>
                <w:lang w:eastAsia="en-GB"/>
              </w:rPr>
            </m:ctrlPr>
          </m:sSubPr>
          <m:e>
            <m:r>
              <w:rPr>
                <w:rFonts w:ascii="Cambria Math" w:hAnsi="Cambria Math"/>
                <w:lang w:eastAsia="en-GB"/>
              </w:rPr>
              <m:t>k</m:t>
            </m:r>
          </m:e>
          <m:sub>
            <m:r>
              <w:rPr>
                <w:rFonts w:ascii="Cambria Math" w:hAnsi="Cambria Math"/>
                <w:lang w:eastAsia="en-GB"/>
              </w:rPr>
              <m:t>L</m:t>
            </m:r>
          </m:sub>
        </m:sSub>
        <m:r>
          <w:rPr>
            <w:rFonts w:ascii="Cambria Math" w:hAnsi="Cambria Math"/>
            <w:lang w:eastAsia="en-GB"/>
          </w:rPr>
          <m:t>a</m:t>
        </m:r>
      </m:oMath>
      <w:r w:rsidRPr="00324FE3">
        <w:rPr>
          <w:lang w:eastAsia="en-GB"/>
        </w:rPr>
        <w:t> calculated for the system is</w:t>
      </w:r>
      <w:r w:rsidR="00DA7426">
        <w:rPr>
          <w:lang w:eastAsia="en-GB"/>
        </w:rPr>
        <w:t xml:space="preserve"> </w:t>
      </w:r>
      <w:r w:rsidR="00D91575">
        <w:t>5.7 x 10</w:t>
      </w:r>
      <w:r w:rsidR="00D91575">
        <w:rPr>
          <w:vertAlign w:val="superscript"/>
        </w:rPr>
        <w:t>-3</w:t>
      </w:r>
      <w:r w:rsidR="00DA7426" w:rsidRPr="00DA7426">
        <w:t xml:space="preserve"> </w:t>
      </w:r>
      <m:oMath>
        <m:r>
          <m:rPr>
            <m:nor/>
          </m:rPr>
          <m:t> </m:t>
        </m:r>
        <m:sSup>
          <m:sSupPr>
            <m:ctrlPr>
              <w:rPr>
                <w:rFonts w:ascii="Cambria Math" w:hAnsi="Cambria Math"/>
                <w:lang w:eastAsia="en-GB"/>
              </w:rPr>
            </m:ctrlPr>
          </m:sSupPr>
          <m:e>
            <m:r>
              <m:rPr>
                <m:nor/>
              </m:rPr>
              <m:t>s</m:t>
            </m:r>
          </m:e>
          <m:sup>
            <m:r>
              <w:rPr>
                <w:rFonts w:ascii="Cambria Math" w:hAnsi="Cambria Math"/>
              </w:rPr>
              <m:t>-1</m:t>
            </m:r>
          </m:sup>
        </m:sSup>
      </m:oMath>
      <w:r w:rsidRPr="00324FE3">
        <w:rPr>
          <w:lang w:eastAsia="en-GB"/>
        </w:rPr>
        <w:t>.</w:t>
      </w:r>
    </w:p>
    <w:p w14:paraId="694819BA" w14:textId="77777777" w:rsidR="000B1E20" w:rsidRPr="00324FE3" w:rsidRDefault="000B1E20" w:rsidP="00324FE3">
      <w:pPr>
        <w:pStyle w:val="CETBodytext"/>
        <w:rPr>
          <w:lang w:eastAsia="en-GB"/>
        </w:rPr>
      </w:pPr>
    </w:p>
    <w:p w14:paraId="6A5167CF" w14:textId="7B1ABB24" w:rsidR="00600535" w:rsidRPr="00B57B36" w:rsidRDefault="00600535" w:rsidP="00600535">
      <w:pPr>
        <w:pStyle w:val="CETTabletitle"/>
      </w:pPr>
      <w:r w:rsidRPr="00B57B36">
        <w:t xml:space="preserve">Table </w:t>
      </w:r>
      <w:r w:rsidR="008754D1">
        <w:t>3</w:t>
      </w:r>
      <w:r w:rsidRPr="00B57B36">
        <w:t xml:space="preserve">: </w:t>
      </w:r>
      <w:r w:rsidR="008754D1">
        <w:t>Operational parameters obtained by model simulation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992"/>
        <w:gridCol w:w="851"/>
        <w:gridCol w:w="1134"/>
        <w:gridCol w:w="20"/>
      </w:tblGrid>
      <w:tr w:rsidR="00600535" w:rsidRPr="00B57B36" w14:paraId="4B29AA51" w14:textId="77777777" w:rsidTr="00F25CD0">
        <w:tc>
          <w:tcPr>
            <w:tcW w:w="1843" w:type="dxa"/>
            <w:tcBorders>
              <w:top w:val="single" w:sz="12" w:space="0" w:color="008000"/>
              <w:bottom w:val="single" w:sz="6" w:space="0" w:color="008000"/>
            </w:tcBorders>
            <w:shd w:val="clear" w:color="auto" w:fill="FFFFFF"/>
          </w:tcPr>
          <w:p w14:paraId="500859EC" w14:textId="70ECA3E3" w:rsidR="00600535" w:rsidRPr="00B57B36" w:rsidRDefault="008754D1" w:rsidP="008754D1">
            <w:pPr>
              <w:pStyle w:val="CETBodytext"/>
              <w:jc w:val="left"/>
              <w:rPr>
                <w:lang w:val="en-GB"/>
              </w:rPr>
            </w:pPr>
            <w:r>
              <w:rPr>
                <w:lang w:val="en-GB"/>
              </w:rPr>
              <w:t xml:space="preserve">SOUR [mol </w:t>
            </w:r>
            <w:r>
              <w:rPr>
                <w:lang w:val="en-GB"/>
              </w:rPr>
              <w:sym w:font="Symbol" w:char="F0D7"/>
            </w:r>
            <w:r>
              <w:rPr>
                <w:lang w:val="en-GB"/>
              </w:rPr>
              <w:t xml:space="preserve"> cell/</w:t>
            </w:r>
            <w:r w:rsidR="00D87248">
              <w:rPr>
                <w:lang w:val="en-GB"/>
              </w:rPr>
              <w:t xml:space="preserve"> h</w:t>
            </w:r>
            <w:r>
              <w:rPr>
                <w:lang w:val="en-GB"/>
              </w:rPr>
              <w:t>]</w:t>
            </w:r>
            <w:r w:rsidR="00600535" w:rsidRPr="00B57B36">
              <w:rPr>
                <w:lang w:val="en-GB"/>
              </w:rPr>
              <w:t xml:space="preserve"> </w:t>
            </w:r>
          </w:p>
        </w:tc>
        <w:tc>
          <w:tcPr>
            <w:tcW w:w="992" w:type="dxa"/>
            <w:tcBorders>
              <w:top w:val="single" w:sz="12" w:space="0" w:color="008000"/>
              <w:bottom w:val="single" w:sz="6" w:space="0" w:color="008000"/>
            </w:tcBorders>
            <w:shd w:val="clear" w:color="auto" w:fill="FFFFFF"/>
          </w:tcPr>
          <w:p w14:paraId="6B6E97E3" w14:textId="3F2E11B1" w:rsidR="00600535" w:rsidRPr="008754D1" w:rsidRDefault="008754D1" w:rsidP="00507B47">
            <w:pPr>
              <w:pStyle w:val="CETBodytext"/>
              <w:rPr>
                <w:lang w:val="en-GB"/>
              </w:rPr>
            </w:pPr>
            <w:r>
              <w:rPr>
                <w:lang w:val="en-GB"/>
              </w:rPr>
              <w:t xml:space="preserve">X </w:t>
            </w:r>
            <w:r w:rsidR="00D87248">
              <w:rPr>
                <w:lang w:val="en-GB"/>
              </w:rPr>
              <w:t>[cell/L]</w:t>
            </w:r>
          </w:p>
        </w:tc>
        <w:tc>
          <w:tcPr>
            <w:tcW w:w="851" w:type="dxa"/>
            <w:tcBorders>
              <w:top w:val="single" w:sz="12" w:space="0" w:color="008000"/>
              <w:bottom w:val="single" w:sz="6" w:space="0" w:color="008000"/>
            </w:tcBorders>
            <w:shd w:val="clear" w:color="auto" w:fill="FFFFFF"/>
          </w:tcPr>
          <w:p w14:paraId="0CC5C18D" w14:textId="675F53ED" w:rsidR="00600535" w:rsidRPr="00B57B36" w:rsidRDefault="00D87248" w:rsidP="00507B47">
            <w:pPr>
              <w:pStyle w:val="CETBodytext"/>
              <w:rPr>
                <w:lang w:val="en-GB"/>
              </w:rPr>
            </w:pPr>
            <w:r>
              <w:rPr>
                <w:lang w:val="en-GB"/>
              </w:rPr>
              <w:t>P [</w:t>
            </w:r>
            <w:proofErr w:type="spellStart"/>
            <w:r>
              <w:rPr>
                <w:lang w:val="en-GB"/>
              </w:rPr>
              <w:t>atm</w:t>
            </w:r>
            <w:proofErr w:type="spellEnd"/>
            <w:r>
              <w:rPr>
                <w:lang w:val="en-GB"/>
              </w:rPr>
              <w:t>]</w:t>
            </w:r>
          </w:p>
        </w:tc>
        <w:tc>
          <w:tcPr>
            <w:tcW w:w="1134" w:type="dxa"/>
            <w:tcBorders>
              <w:top w:val="single" w:sz="12" w:space="0" w:color="008000"/>
              <w:bottom w:val="single" w:sz="6" w:space="0" w:color="008000"/>
            </w:tcBorders>
            <w:shd w:val="clear" w:color="auto" w:fill="FFFFFF"/>
          </w:tcPr>
          <w:p w14:paraId="199EE8DC" w14:textId="05CA5BBD" w:rsidR="00600535" w:rsidRPr="00B57B36" w:rsidRDefault="00D87248" w:rsidP="00507B47">
            <w:pPr>
              <w:pStyle w:val="CETBodytext"/>
              <w:ind w:right="-1"/>
              <w:rPr>
                <w:rFonts w:cs="Arial"/>
                <w:szCs w:val="18"/>
                <w:lang w:val="en-GB"/>
              </w:rPr>
            </w:pPr>
            <w:r>
              <w:rPr>
                <w:rFonts w:cs="Arial"/>
                <w:szCs w:val="18"/>
                <w:lang w:val="en-GB"/>
              </w:rPr>
              <w:t>DO [mg/L]</w:t>
            </w:r>
          </w:p>
        </w:tc>
        <w:tc>
          <w:tcPr>
            <w:tcW w:w="20" w:type="dxa"/>
            <w:tcBorders>
              <w:top w:val="single" w:sz="12" w:space="0" w:color="008000"/>
              <w:bottom w:val="single" w:sz="6" w:space="0" w:color="008000"/>
            </w:tcBorders>
            <w:shd w:val="clear" w:color="auto" w:fill="FFFFFF"/>
          </w:tcPr>
          <w:p w14:paraId="005800F7" w14:textId="2A5B4338" w:rsidR="00600535" w:rsidRPr="00B57B36" w:rsidRDefault="00600535" w:rsidP="00507B47">
            <w:pPr>
              <w:pStyle w:val="CETBodytext"/>
              <w:ind w:right="-1"/>
              <w:rPr>
                <w:rFonts w:cs="Arial"/>
                <w:szCs w:val="18"/>
                <w:lang w:val="en-GB"/>
              </w:rPr>
            </w:pPr>
          </w:p>
        </w:tc>
      </w:tr>
      <w:tr w:rsidR="00600535" w:rsidRPr="00B57B36" w14:paraId="18FA68DB" w14:textId="77777777" w:rsidTr="00F25CD0">
        <w:tc>
          <w:tcPr>
            <w:tcW w:w="1843" w:type="dxa"/>
            <w:shd w:val="clear" w:color="auto" w:fill="FFFFFF"/>
          </w:tcPr>
          <w:p w14:paraId="1877D42D" w14:textId="0B48C472" w:rsidR="00600535" w:rsidRPr="00B57B36" w:rsidRDefault="00D87248" w:rsidP="00507B47">
            <w:pPr>
              <w:pStyle w:val="CETBodytext"/>
              <w:rPr>
                <w:lang w:val="en-GB"/>
              </w:rPr>
            </w:pPr>
            <w:r>
              <w:rPr>
                <w:lang w:val="en-GB"/>
              </w:rPr>
              <w:t>3.2e-13</w:t>
            </w:r>
          </w:p>
        </w:tc>
        <w:tc>
          <w:tcPr>
            <w:tcW w:w="992" w:type="dxa"/>
            <w:shd w:val="clear" w:color="auto" w:fill="FFFFFF"/>
          </w:tcPr>
          <w:p w14:paraId="48136FAE" w14:textId="347B8F62" w:rsidR="00600535" w:rsidRPr="00B57B36" w:rsidRDefault="00D87248" w:rsidP="00507B47">
            <w:pPr>
              <w:pStyle w:val="CETBodytext"/>
              <w:rPr>
                <w:lang w:val="en-GB"/>
              </w:rPr>
            </w:pPr>
            <w:r>
              <w:rPr>
                <w:lang w:val="en-GB"/>
              </w:rPr>
              <w:t>3e</w:t>
            </w:r>
            <w:r w:rsidR="00E6703E">
              <w:rPr>
                <w:lang w:val="en-GB"/>
              </w:rPr>
              <w:t>9</w:t>
            </w:r>
          </w:p>
        </w:tc>
        <w:tc>
          <w:tcPr>
            <w:tcW w:w="851" w:type="dxa"/>
            <w:shd w:val="clear" w:color="auto" w:fill="FFFFFF"/>
          </w:tcPr>
          <w:p w14:paraId="2CB03BEE" w14:textId="0338746D" w:rsidR="00600535" w:rsidRPr="00B57B36" w:rsidRDefault="00E6703E" w:rsidP="00507B47">
            <w:pPr>
              <w:pStyle w:val="CETBodytext"/>
              <w:rPr>
                <w:lang w:val="en-GB"/>
              </w:rPr>
            </w:pPr>
            <w:r>
              <w:rPr>
                <w:lang w:val="en-GB"/>
              </w:rPr>
              <w:t>1</w:t>
            </w:r>
          </w:p>
        </w:tc>
        <w:tc>
          <w:tcPr>
            <w:tcW w:w="1134" w:type="dxa"/>
            <w:shd w:val="clear" w:color="auto" w:fill="FFFFFF"/>
          </w:tcPr>
          <w:p w14:paraId="7FF7EB81" w14:textId="70CE412F" w:rsidR="00600535" w:rsidRPr="00B57B36" w:rsidRDefault="00E6703E" w:rsidP="00507B47">
            <w:pPr>
              <w:pStyle w:val="CETBodytext"/>
              <w:ind w:right="-1"/>
              <w:rPr>
                <w:rFonts w:cs="Arial"/>
                <w:szCs w:val="18"/>
                <w:lang w:val="en-GB"/>
              </w:rPr>
            </w:pPr>
            <w:r>
              <w:rPr>
                <w:rFonts w:cs="Arial"/>
                <w:szCs w:val="18"/>
                <w:lang w:val="en-GB"/>
              </w:rPr>
              <w:t>4</w:t>
            </w:r>
          </w:p>
        </w:tc>
        <w:tc>
          <w:tcPr>
            <w:tcW w:w="20" w:type="dxa"/>
            <w:shd w:val="clear" w:color="auto" w:fill="FFFFFF"/>
          </w:tcPr>
          <w:p w14:paraId="6512B018" w14:textId="77777777" w:rsidR="00600535" w:rsidRPr="00B57B36" w:rsidRDefault="00600535" w:rsidP="00507B47">
            <w:pPr>
              <w:pStyle w:val="CETBodytext"/>
              <w:ind w:right="-1"/>
              <w:rPr>
                <w:rFonts w:cs="Arial"/>
                <w:szCs w:val="18"/>
                <w:lang w:val="en-GB"/>
              </w:rPr>
            </w:pPr>
          </w:p>
        </w:tc>
      </w:tr>
    </w:tbl>
    <w:p w14:paraId="206F2195" w14:textId="77777777" w:rsidR="00EC06BC" w:rsidRDefault="00EC06BC" w:rsidP="00324FE3">
      <w:pPr>
        <w:pStyle w:val="CETBodytext"/>
      </w:pPr>
    </w:p>
    <w:p w14:paraId="78A0CEB1" w14:textId="6BE7DC31" w:rsidR="00324FE3" w:rsidRPr="00324FE3" w:rsidRDefault="00324FE3" w:rsidP="00324FE3">
      <w:pPr>
        <w:pStyle w:val="CETBodytext"/>
        <w:rPr>
          <w:lang w:eastAsia="en-GB"/>
        </w:rPr>
      </w:pPr>
      <w:r>
        <w:rPr>
          <w:lang w:eastAsia="en-GB"/>
        </w:rPr>
        <w:t>T</w:t>
      </w:r>
      <w:r w:rsidRPr="00324FE3">
        <w:rPr>
          <w:lang w:eastAsia="en-GB"/>
        </w:rPr>
        <w:t>he design parameter assumptions adopted for the scale-up are reported in Table 4. A marine propeller was</w:t>
      </w:r>
      <w:r>
        <w:rPr>
          <w:lang w:eastAsia="en-GB"/>
        </w:rPr>
        <w:t xml:space="preserve"> </w:t>
      </w:r>
      <w:r w:rsidRPr="00324FE3">
        <w:rPr>
          <w:lang w:eastAsia="en-GB"/>
        </w:rPr>
        <w:t>selected as the mixing device, as it is commonly employed in CHO cell bioreactors due to its lower shear generation, which helps prevent cell damage. The aeration system consists of a sparger, and the impeller-to-reactor diameter ratio was chosen according to typical values for 5000 L bioreactors (Xing et al., 2008).</w:t>
      </w:r>
      <w:r>
        <w:rPr>
          <w:lang w:eastAsia="en-GB"/>
        </w:rPr>
        <w:t xml:space="preserve"> </w:t>
      </w:r>
      <w:r w:rsidRPr="00324FE3">
        <w:rPr>
          <w:lang w:eastAsia="en-GB"/>
        </w:rPr>
        <w:t>Assuming that the liquid phase has physical properties similar to those of water, the Reynolds number (Eq. 15) was found to be on the order of </w:t>
      </w:r>
      <m:oMath>
        <m:sSup>
          <m:sSupPr>
            <m:ctrlPr>
              <w:rPr>
                <w:rFonts w:ascii="Cambria Math" w:hAnsi="Cambria Math"/>
                <w:lang w:eastAsia="en-GB"/>
              </w:rPr>
            </m:ctrlPr>
          </m:sSupPr>
          <m:e>
            <m:r>
              <w:rPr>
                <w:rFonts w:ascii="Cambria Math" w:hAnsi="Cambria Math"/>
                <w:lang w:eastAsia="en-GB"/>
              </w:rPr>
              <m:t>10</m:t>
            </m:r>
          </m:e>
          <m:sup>
            <m:r>
              <w:rPr>
                <w:rFonts w:ascii="Cambria Math" w:hAnsi="Cambria Math"/>
                <w:lang w:eastAsia="en-GB"/>
              </w:rPr>
              <m:t>6</m:t>
            </m:r>
          </m:sup>
        </m:sSup>
      </m:oMath>
      <w:r w:rsidRPr="00324FE3">
        <w:rPr>
          <w:lang w:eastAsia="en-GB"/>
        </w:rPr>
        <w:t>, while the Froude number (Eq. 16) was calculated to be 0.191.</w:t>
      </w:r>
    </w:p>
    <w:p w14:paraId="5106CC6F" w14:textId="09394005" w:rsidR="008754D1" w:rsidRPr="00B57B36" w:rsidRDefault="008754D1" w:rsidP="008754D1">
      <w:pPr>
        <w:pStyle w:val="CETTabletitle"/>
      </w:pPr>
      <w:r w:rsidRPr="00B57B36">
        <w:t xml:space="preserve">Table </w:t>
      </w:r>
      <w:r>
        <w:t>4</w:t>
      </w:r>
      <w:r w:rsidRPr="00B57B36">
        <w:t>:</w:t>
      </w:r>
      <w:r>
        <w:t xml:space="preserve"> Design parameters assumptions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09"/>
        <w:gridCol w:w="709"/>
        <w:gridCol w:w="425"/>
        <w:gridCol w:w="709"/>
        <w:gridCol w:w="850"/>
        <w:gridCol w:w="709"/>
      </w:tblGrid>
      <w:tr w:rsidR="00155CBD" w:rsidRPr="00B57B36" w14:paraId="38C19467" w14:textId="77777777" w:rsidTr="00155CBD">
        <w:tc>
          <w:tcPr>
            <w:tcW w:w="709" w:type="dxa"/>
            <w:tcBorders>
              <w:top w:val="single" w:sz="12" w:space="0" w:color="008000"/>
              <w:bottom w:val="single" w:sz="6" w:space="0" w:color="008000"/>
            </w:tcBorders>
            <w:shd w:val="clear" w:color="auto" w:fill="FFFFFF"/>
          </w:tcPr>
          <w:p w14:paraId="0CDD9E29" w14:textId="1AE40B10" w:rsidR="00155CBD" w:rsidRPr="00B57B36" w:rsidRDefault="00155CBD" w:rsidP="00632545">
            <w:pPr>
              <w:pStyle w:val="CETBodytext"/>
              <w:rPr>
                <w:lang w:val="en-GB"/>
              </w:rPr>
            </w:pPr>
            <w:r>
              <w:rPr>
                <w:lang w:val="en-GB"/>
              </w:rPr>
              <w:t>T [m]</w:t>
            </w:r>
            <w:r w:rsidRPr="00B57B36">
              <w:rPr>
                <w:lang w:val="en-GB"/>
              </w:rPr>
              <w:t xml:space="preserve"> </w:t>
            </w:r>
          </w:p>
        </w:tc>
        <w:tc>
          <w:tcPr>
            <w:tcW w:w="709" w:type="dxa"/>
            <w:tcBorders>
              <w:top w:val="single" w:sz="12" w:space="0" w:color="008000"/>
              <w:bottom w:val="single" w:sz="6" w:space="0" w:color="008000"/>
            </w:tcBorders>
            <w:shd w:val="clear" w:color="auto" w:fill="FFFFFF"/>
          </w:tcPr>
          <w:p w14:paraId="2D094A96" w14:textId="5FA54759" w:rsidR="00155CBD" w:rsidRPr="00B57B36" w:rsidRDefault="00155CBD" w:rsidP="00632545">
            <w:pPr>
              <w:pStyle w:val="CETBodytext"/>
              <w:rPr>
                <w:lang w:val="en-GB"/>
              </w:rPr>
            </w:pPr>
            <w:r>
              <w:rPr>
                <w:lang w:val="en-GB"/>
              </w:rPr>
              <w:sym w:font="Symbol" w:char="F079"/>
            </w:r>
          </w:p>
        </w:tc>
        <w:tc>
          <w:tcPr>
            <w:tcW w:w="425" w:type="dxa"/>
            <w:tcBorders>
              <w:top w:val="single" w:sz="12" w:space="0" w:color="008000"/>
              <w:bottom w:val="single" w:sz="6" w:space="0" w:color="008000"/>
            </w:tcBorders>
            <w:shd w:val="clear" w:color="auto" w:fill="FFFFFF"/>
          </w:tcPr>
          <w:p w14:paraId="587F1F1A" w14:textId="01E33E63" w:rsidR="00155CBD" w:rsidRPr="00B57B36" w:rsidRDefault="00155CBD" w:rsidP="00632545">
            <w:pPr>
              <w:pStyle w:val="CETBodytext"/>
              <w:rPr>
                <w:lang w:val="en-GB"/>
              </w:rPr>
            </w:pPr>
            <w:r>
              <w:rPr>
                <w:lang w:val="en-GB"/>
              </w:rPr>
              <w:t>n</w:t>
            </w:r>
          </w:p>
        </w:tc>
        <w:tc>
          <w:tcPr>
            <w:tcW w:w="709" w:type="dxa"/>
            <w:tcBorders>
              <w:top w:val="single" w:sz="12" w:space="0" w:color="008000"/>
              <w:bottom w:val="single" w:sz="6" w:space="0" w:color="008000"/>
            </w:tcBorders>
            <w:shd w:val="clear" w:color="auto" w:fill="FFFFFF"/>
          </w:tcPr>
          <w:p w14:paraId="324D5801" w14:textId="633F0214" w:rsidR="00155CBD" w:rsidRPr="00155CBD" w:rsidRDefault="00155CBD" w:rsidP="00632545">
            <w:pPr>
              <w:pStyle w:val="CETBodytext"/>
              <w:ind w:right="-1"/>
              <w:rPr>
                <w:rFonts w:cs="Arial"/>
                <w:szCs w:val="18"/>
                <w:lang w:val="en-GB"/>
              </w:rPr>
            </w:pPr>
            <w:r>
              <w:rPr>
                <w:rFonts w:cs="Arial"/>
                <w:szCs w:val="18"/>
                <w:lang w:val="en-GB"/>
              </w:rPr>
              <w:t>N</w:t>
            </w:r>
            <w:r>
              <w:rPr>
                <w:rFonts w:cs="Arial"/>
                <w:szCs w:val="18"/>
                <w:vertAlign w:val="subscript"/>
                <w:lang w:val="en-GB"/>
              </w:rPr>
              <w:t>p</w:t>
            </w:r>
            <w:r>
              <w:rPr>
                <w:rFonts w:cs="Arial"/>
                <w:szCs w:val="18"/>
                <w:lang w:val="en-GB"/>
              </w:rPr>
              <w:t xml:space="preserve"> </w:t>
            </w:r>
          </w:p>
        </w:tc>
        <w:tc>
          <w:tcPr>
            <w:tcW w:w="850" w:type="dxa"/>
            <w:tcBorders>
              <w:top w:val="single" w:sz="12" w:space="0" w:color="008000"/>
              <w:bottom w:val="single" w:sz="6" w:space="0" w:color="008000"/>
            </w:tcBorders>
            <w:shd w:val="clear" w:color="auto" w:fill="FFFFFF"/>
          </w:tcPr>
          <w:p w14:paraId="1FD914A5" w14:textId="3E22A91F" w:rsidR="00155CBD" w:rsidRPr="00155CBD" w:rsidRDefault="00155CBD" w:rsidP="00632545">
            <w:pPr>
              <w:pStyle w:val="CETBodytext"/>
              <w:ind w:right="-1"/>
              <w:rPr>
                <w:rFonts w:cs="Arial"/>
                <w:szCs w:val="18"/>
                <w:lang w:val="en-GB"/>
              </w:rPr>
            </w:pPr>
            <w:r>
              <w:rPr>
                <w:rFonts w:cs="Arial"/>
                <w:szCs w:val="18"/>
                <w:lang w:val="en-GB"/>
              </w:rPr>
              <w:t>N</w:t>
            </w:r>
            <w:r>
              <w:rPr>
                <w:rFonts w:cs="Arial"/>
                <w:szCs w:val="18"/>
                <w:vertAlign w:val="subscript"/>
                <w:lang w:val="en-GB"/>
              </w:rPr>
              <w:t>i</w:t>
            </w:r>
            <w:r>
              <w:rPr>
                <w:rFonts w:cs="Arial"/>
                <w:szCs w:val="18"/>
                <w:lang w:val="en-GB"/>
              </w:rPr>
              <w:t xml:space="preserve"> [s</w:t>
            </w:r>
            <w:r>
              <w:rPr>
                <w:rFonts w:cs="Arial"/>
                <w:szCs w:val="18"/>
                <w:vertAlign w:val="superscript"/>
                <w:lang w:val="en-GB"/>
              </w:rPr>
              <w:t>-1</w:t>
            </w:r>
            <w:r>
              <w:rPr>
                <w:rFonts w:cs="Arial"/>
                <w:szCs w:val="18"/>
                <w:lang w:val="en-GB"/>
              </w:rPr>
              <w:t>]</w:t>
            </w:r>
          </w:p>
        </w:tc>
        <w:tc>
          <w:tcPr>
            <w:tcW w:w="709" w:type="dxa"/>
            <w:tcBorders>
              <w:top w:val="single" w:sz="12" w:space="0" w:color="008000"/>
              <w:bottom w:val="single" w:sz="6" w:space="0" w:color="008000"/>
            </w:tcBorders>
            <w:shd w:val="clear" w:color="auto" w:fill="FFFFFF"/>
          </w:tcPr>
          <w:p w14:paraId="1F860F51" w14:textId="1E630A3D" w:rsidR="00155CBD" w:rsidRPr="00155CBD" w:rsidRDefault="00155CBD" w:rsidP="00632545">
            <w:pPr>
              <w:pStyle w:val="CETBodytext"/>
              <w:ind w:right="-1"/>
              <w:rPr>
                <w:rFonts w:cs="Arial"/>
                <w:szCs w:val="18"/>
                <w:lang w:val="en-GB"/>
              </w:rPr>
            </w:pPr>
            <w:r>
              <w:rPr>
                <w:rFonts w:cs="Arial"/>
                <w:szCs w:val="18"/>
                <w:lang w:val="en-GB"/>
              </w:rPr>
              <w:t>V</w:t>
            </w:r>
            <w:r>
              <w:rPr>
                <w:rFonts w:cs="Arial"/>
                <w:szCs w:val="18"/>
                <w:vertAlign w:val="subscript"/>
                <w:lang w:val="en-GB"/>
              </w:rPr>
              <w:t>L</w:t>
            </w:r>
            <w:r>
              <w:rPr>
                <w:rFonts w:cs="Arial"/>
                <w:szCs w:val="18"/>
                <w:lang w:val="en-GB"/>
              </w:rPr>
              <w:t xml:space="preserve"> [L]</w:t>
            </w:r>
          </w:p>
        </w:tc>
      </w:tr>
      <w:tr w:rsidR="00155CBD" w:rsidRPr="00B57B36" w14:paraId="02BBB8CE" w14:textId="77777777" w:rsidTr="00155CBD">
        <w:tc>
          <w:tcPr>
            <w:tcW w:w="709" w:type="dxa"/>
            <w:shd w:val="clear" w:color="auto" w:fill="FFFFFF"/>
          </w:tcPr>
          <w:p w14:paraId="756710B3" w14:textId="320322EF" w:rsidR="00155CBD" w:rsidRPr="00B57B36" w:rsidRDefault="00155CBD" w:rsidP="00632545">
            <w:pPr>
              <w:pStyle w:val="CETBodytext"/>
              <w:rPr>
                <w:lang w:val="en-GB"/>
              </w:rPr>
            </w:pPr>
            <w:r>
              <w:rPr>
                <w:lang w:val="en-GB"/>
              </w:rPr>
              <w:t>1.2</w:t>
            </w:r>
          </w:p>
        </w:tc>
        <w:tc>
          <w:tcPr>
            <w:tcW w:w="709" w:type="dxa"/>
            <w:shd w:val="clear" w:color="auto" w:fill="FFFFFF"/>
          </w:tcPr>
          <w:p w14:paraId="0DF8A8B4" w14:textId="4BF0B6D7" w:rsidR="00155CBD" w:rsidRPr="00B57B36" w:rsidRDefault="00155CBD" w:rsidP="00632545">
            <w:pPr>
              <w:pStyle w:val="CETBodytext"/>
              <w:rPr>
                <w:lang w:val="en-GB"/>
              </w:rPr>
            </w:pPr>
            <w:r>
              <w:rPr>
                <w:lang w:val="en-GB"/>
              </w:rPr>
              <w:t>0.56</w:t>
            </w:r>
          </w:p>
        </w:tc>
        <w:tc>
          <w:tcPr>
            <w:tcW w:w="425" w:type="dxa"/>
            <w:shd w:val="clear" w:color="auto" w:fill="FFFFFF"/>
          </w:tcPr>
          <w:p w14:paraId="176CB6AB" w14:textId="51A0C3F0" w:rsidR="00155CBD" w:rsidRPr="00B57B36" w:rsidRDefault="00155CBD" w:rsidP="00632545">
            <w:pPr>
              <w:pStyle w:val="CETBodytext"/>
              <w:rPr>
                <w:lang w:val="en-GB"/>
              </w:rPr>
            </w:pPr>
            <w:r>
              <w:rPr>
                <w:lang w:val="en-GB"/>
              </w:rPr>
              <w:t>3</w:t>
            </w:r>
          </w:p>
        </w:tc>
        <w:tc>
          <w:tcPr>
            <w:tcW w:w="709" w:type="dxa"/>
            <w:shd w:val="clear" w:color="auto" w:fill="FFFFFF"/>
          </w:tcPr>
          <w:p w14:paraId="1DB3723D" w14:textId="6F9A4A9F" w:rsidR="00155CBD" w:rsidRPr="00B57B36" w:rsidRDefault="00155CBD" w:rsidP="00632545">
            <w:pPr>
              <w:pStyle w:val="CETBodytext"/>
              <w:ind w:right="-1"/>
              <w:rPr>
                <w:rFonts w:cs="Arial"/>
                <w:szCs w:val="18"/>
                <w:lang w:val="en-GB"/>
              </w:rPr>
            </w:pPr>
            <w:r>
              <w:rPr>
                <w:rFonts w:cs="Arial"/>
                <w:szCs w:val="18"/>
                <w:lang w:val="en-GB"/>
              </w:rPr>
              <w:t>0.35</w:t>
            </w:r>
          </w:p>
        </w:tc>
        <w:tc>
          <w:tcPr>
            <w:tcW w:w="850" w:type="dxa"/>
            <w:shd w:val="clear" w:color="auto" w:fill="FFFFFF"/>
          </w:tcPr>
          <w:p w14:paraId="40A87737" w14:textId="74EA47F7" w:rsidR="00155CBD" w:rsidRPr="00B57B36" w:rsidRDefault="00155CBD" w:rsidP="00632545">
            <w:pPr>
              <w:pStyle w:val="CETBodytext"/>
              <w:ind w:right="-1"/>
              <w:rPr>
                <w:rFonts w:cs="Arial"/>
                <w:szCs w:val="18"/>
                <w:lang w:val="en-GB"/>
              </w:rPr>
            </w:pPr>
            <w:r>
              <w:rPr>
                <w:rFonts w:cs="Arial"/>
                <w:szCs w:val="18"/>
                <w:lang w:val="en-GB"/>
              </w:rPr>
              <w:t>1.67</w:t>
            </w:r>
          </w:p>
        </w:tc>
        <w:tc>
          <w:tcPr>
            <w:tcW w:w="709" w:type="dxa"/>
            <w:shd w:val="clear" w:color="auto" w:fill="FFFFFF"/>
          </w:tcPr>
          <w:p w14:paraId="0FD1D7A0" w14:textId="7B8FBE9D" w:rsidR="00155CBD" w:rsidRPr="00B57B36" w:rsidRDefault="00155CBD" w:rsidP="00632545">
            <w:pPr>
              <w:pStyle w:val="CETBodytext"/>
              <w:ind w:right="-1"/>
              <w:rPr>
                <w:rFonts w:cs="Arial"/>
                <w:szCs w:val="18"/>
                <w:lang w:val="en-GB"/>
              </w:rPr>
            </w:pPr>
            <w:r>
              <w:rPr>
                <w:rFonts w:cs="Arial"/>
                <w:szCs w:val="18"/>
                <w:lang w:val="en-GB"/>
              </w:rPr>
              <w:t>5000</w:t>
            </w:r>
          </w:p>
        </w:tc>
      </w:tr>
    </w:tbl>
    <w:p w14:paraId="643143E6" w14:textId="770A40BD" w:rsidR="008754D1" w:rsidRDefault="008754D1" w:rsidP="008C38B1">
      <w:pPr>
        <w:pStyle w:val="CETBodytext"/>
      </w:pPr>
    </w:p>
    <w:p w14:paraId="07347060" w14:textId="179752C5" w:rsidR="00324FE3" w:rsidRDefault="00324FE3" w:rsidP="00324FE3">
      <w:pPr>
        <w:pStyle w:val="CETBodytext"/>
        <w:rPr>
          <w:lang w:eastAsia="en-GB"/>
        </w:rPr>
      </w:pPr>
      <w:r w:rsidRPr="00324FE3">
        <w:rPr>
          <w:lang w:eastAsia="en-GB"/>
        </w:rPr>
        <w:t>Following the central column of Figure 1, the impeller power </w:t>
      </w:r>
      <m:oMath>
        <m:sSub>
          <m:sSubPr>
            <m:ctrlPr>
              <w:rPr>
                <w:rFonts w:ascii="Cambria Math" w:hAnsi="Cambria Math"/>
                <w:lang w:eastAsia="en-GB"/>
              </w:rPr>
            </m:ctrlPr>
          </m:sSubPr>
          <m:e>
            <m:r>
              <w:rPr>
                <w:rFonts w:ascii="Cambria Math" w:hAnsi="Cambria Math"/>
                <w:lang w:eastAsia="en-GB"/>
              </w:rPr>
              <m:t>P</m:t>
            </m:r>
          </m:e>
          <m:sub>
            <m:r>
              <w:rPr>
                <w:rFonts w:ascii="Cambria Math" w:hAnsi="Cambria Math"/>
                <w:lang w:eastAsia="en-GB"/>
              </w:rPr>
              <m:t>w</m:t>
            </m:r>
          </m:sub>
        </m:sSub>
      </m:oMath>
      <w:r w:rsidRPr="00324FE3">
        <w:rPr>
          <w:lang w:eastAsia="en-GB"/>
        </w:rPr>
        <w:t> must first be determined. A power number </w:t>
      </w:r>
      <m:oMath>
        <m:sSub>
          <m:sSubPr>
            <m:ctrlPr>
              <w:rPr>
                <w:rFonts w:ascii="Cambria Math" w:hAnsi="Cambria Math"/>
                <w:lang w:eastAsia="en-GB"/>
              </w:rPr>
            </m:ctrlPr>
          </m:sSubPr>
          <m:e>
            <m:r>
              <w:rPr>
                <w:rFonts w:ascii="Cambria Math" w:hAnsi="Cambria Math"/>
                <w:lang w:eastAsia="en-GB"/>
              </w:rPr>
              <m:t>N</m:t>
            </m:r>
          </m:e>
          <m:sub>
            <m:r>
              <w:rPr>
                <w:rFonts w:ascii="Cambria Math" w:hAnsi="Cambria Math"/>
                <w:lang w:eastAsia="en-GB"/>
              </w:rPr>
              <m:t>p</m:t>
            </m:r>
          </m:sub>
        </m:sSub>
      </m:oMath>
      <w:r w:rsidRPr="00324FE3">
        <w:rPr>
          <w:lang w:eastAsia="en-GB"/>
        </w:rPr>
        <w:t xml:space="preserve"> of approximately 0.35 was selected from the characteristic curve of the chosen propeller </w:t>
      </w:r>
      <w:r w:rsidR="000B1E20">
        <w:rPr>
          <w:lang w:eastAsia="en-GB"/>
        </w:rPr>
        <w:t xml:space="preserve">(Bailey and Ollis, 2018, Chapter 9) </w:t>
      </w:r>
      <w:r w:rsidRPr="00324FE3">
        <w:rPr>
          <w:lang w:eastAsia="en-GB"/>
        </w:rPr>
        <w:t>Using Eq. 17, the calculated impeller power </w:t>
      </w:r>
      <m:oMath>
        <m:sSub>
          <m:sSubPr>
            <m:ctrlPr>
              <w:rPr>
                <w:rFonts w:ascii="Cambria Math" w:hAnsi="Cambria Math"/>
                <w:lang w:eastAsia="en-GB"/>
              </w:rPr>
            </m:ctrlPr>
          </m:sSubPr>
          <m:e>
            <m:r>
              <w:rPr>
                <w:rFonts w:ascii="Cambria Math" w:hAnsi="Cambria Math"/>
                <w:lang w:eastAsia="en-GB"/>
              </w:rPr>
              <m:t>P</m:t>
            </m:r>
          </m:e>
          <m:sub>
            <m:r>
              <w:rPr>
                <w:rFonts w:ascii="Cambria Math" w:hAnsi="Cambria Math"/>
                <w:lang w:eastAsia="en-GB"/>
              </w:rPr>
              <m:t>w</m:t>
            </m:r>
          </m:sub>
        </m:sSub>
      </m:oMath>
      <w:r w:rsidRPr="00324FE3">
        <w:rPr>
          <w:lang w:eastAsia="en-GB"/>
        </w:rPr>
        <w:t> was 665.7 W, satisfying the constraint that the corresponding power density</w:t>
      </w:r>
      <w:r w:rsidR="00DA7426">
        <w:rPr>
          <w:lang w:eastAsia="en-GB"/>
        </w:rPr>
        <w:t>, 40 W/m</w:t>
      </w:r>
      <w:r w:rsidR="00DA7426">
        <w:rPr>
          <w:vertAlign w:val="superscript"/>
          <w:lang w:eastAsia="en-GB"/>
        </w:rPr>
        <w:t>3</w:t>
      </w:r>
      <w:r w:rsidR="00DA7426">
        <w:rPr>
          <w:lang w:eastAsia="en-GB"/>
        </w:rPr>
        <w:t>,</w:t>
      </w:r>
      <w:r w:rsidRPr="00324FE3">
        <w:rPr>
          <w:lang w:eastAsia="en-GB"/>
        </w:rPr>
        <w:t xml:space="preserve"> remains below the maximum allowable limit.</w:t>
      </w:r>
      <w:r>
        <w:rPr>
          <w:lang w:eastAsia="en-GB"/>
        </w:rPr>
        <w:t xml:space="preserve"> </w:t>
      </w:r>
    </w:p>
    <w:p w14:paraId="6733A2A9" w14:textId="3D28AF8B" w:rsidR="00324FE3" w:rsidRPr="00324FE3" w:rsidRDefault="00324FE3" w:rsidP="00324FE3">
      <w:pPr>
        <w:pStyle w:val="CETBodytext"/>
        <w:rPr>
          <w:lang w:eastAsia="en-GB"/>
        </w:rPr>
      </w:pPr>
      <w:r w:rsidRPr="00324FE3">
        <w:rPr>
          <w:lang w:eastAsia="en-GB"/>
        </w:rPr>
        <w:t>Subsequently, in order to improve energy efficiency, the aeration number </w:t>
      </w:r>
      <m:oMath>
        <m:sSub>
          <m:sSubPr>
            <m:ctrlPr>
              <w:rPr>
                <w:rFonts w:ascii="Cambria Math" w:hAnsi="Cambria Math"/>
                <w:lang w:eastAsia="en-GB"/>
              </w:rPr>
            </m:ctrlPr>
          </m:sSubPr>
          <m:e>
            <m:r>
              <w:rPr>
                <w:rFonts w:ascii="Cambria Math" w:hAnsi="Cambria Math"/>
                <w:lang w:eastAsia="en-GB"/>
              </w:rPr>
              <m:t>N</m:t>
            </m:r>
          </m:e>
          <m:sub>
            <m:r>
              <w:rPr>
                <w:rFonts w:ascii="Cambria Math" w:hAnsi="Cambria Math"/>
                <w:lang w:eastAsia="en-GB"/>
              </w:rPr>
              <m:t>a</m:t>
            </m:r>
          </m:sub>
        </m:sSub>
      </m:oMath>
      <w:r w:rsidRPr="00324FE3">
        <w:rPr>
          <w:lang w:eastAsia="en-GB"/>
        </w:rPr>
        <w:t> was evaluated following the left column of Figure 1. The minimum value required for complete bubble dispersion, </w:t>
      </w:r>
      <m:oMath>
        <m:sSub>
          <m:sSubPr>
            <m:ctrlPr>
              <w:rPr>
                <w:rFonts w:ascii="Cambria Math" w:hAnsi="Cambria Math"/>
                <w:lang w:eastAsia="en-GB"/>
              </w:rPr>
            </m:ctrlPr>
          </m:sSubPr>
          <m:e>
            <m:r>
              <w:rPr>
                <w:rFonts w:ascii="Cambria Math" w:hAnsi="Cambria Math"/>
                <w:lang w:eastAsia="en-GB"/>
              </w:rPr>
              <m:t>N</m:t>
            </m:r>
          </m:e>
          <m:sub>
            <m:r>
              <w:rPr>
                <w:rFonts w:ascii="Cambria Math" w:hAnsi="Cambria Math"/>
                <w:lang w:eastAsia="en-GB"/>
              </w:rPr>
              <m:t>a,disp</m:t>
            </m:r>
          </m:sub>
        </m:sSub>
      </m:oMath>
      <w:r w:rsidRPr="00324FE3">
        <w:rPr>
          <w:lang w:eastAsia="en-GB"/>
        </w:rPr>
        <w:t>, was calculated as 0.085 (Eq. 18), while the upper limit associated with the onset of floating, </w:t>
      </w:r>
      <m:oMath>
        <m:sSub>
          <m:sSubPr>
            <m:ctrlPr>
              <w:rPr>
                <w:rFonts w:ascii="Cambria Math" w:hAnsi="Cambria Math"/>
                <w:lang w:eastAsia="en-GB"/>
              </w:rPr>
            </m:ctrlPr>
          </m:sSubPr>
          <m:e>
            <m:r>
              <w:rPr>
                <w:rFonts w:ascii="Cambria Math" w:hAnsi="Cambria Math"/>
                <w:lang w:eastAsia="en-GB"/>
              </w:rPr>
              <m:t>N</m:t>
            </m:r>
          </m:e>
          <m:sub>
            <m:r>
              <w:rPr>
                <w:rFonts w:ascii="Cambria Math" w:hAnsi="Cambria Math"/>
                <w:lang w:eastAsia="en-GB"/>
              </w:rPr>
              <m:t>a,F</m:t>
            </m:r>
          </m:sub>
        </m:sSub>
      </m:oMath>
      <w:r w:rsidRPr="00324FE3">
        <w:rPr>
          <w:lang w:eastAsia="en-GB"/>
        </w:rPr>
        <w:t>, was 0.753 (Eq. 19). By applying a corrective factor of 0.3, a value of </w:t>
      </w:r>
      <m:oMath>
        <m:sSub>
          <m:sSubPr>
            <m:ctrlPr>
              <w:rPr>
                <w:rFonts w:ascii="Cambria Math" w:hAnsi="Cambria Math"/>
                <w:lang w:eastAsia="en-GB"/>
              </w:rPr>
            </m:ctrlPr>
          </m:sSubPr>
          <m:e>
            <m:r>
              <w:rPr>
                <w:rFonts w:ascii="Cambria Math" w:hAnsi="Cambria Math"/>
                <w:lang w:eastAsia="en-GB"/>
              </w:rPr>
              <m:t>N</m:t>
            </m:r>
          </m:e>
          <m:sub>
            <m:r>
              <w:rPr>
                <w:rFonts w:ascii="Cambria Math" w:hAnsi="Cambria Math"/>
                <w:lang w:eastAsia="en-GB"/>
              </w:rPr>
              <m:t>a</m:t>
            </m:r>
          </m:sub>
        </m:sSub>
      </m:oMath>
      <w:r w:rsidRPr="00324FE3">
        <w:rPr>
          <w:lang w:eastAsia="en-GB"/>
        </w:rPr>
        <w:t xml:space="preserve"> within this admissible range was obtained. From the characteristic curve </w:t>
      </w:r>
      <w:r w:rsidR="000B1E20">
        <w:rPr>
          <w:lang w:eastAsia="en-GB"/>
        </w:rPr>
        <w:t xml:space="preserve">from Bailey and Ollis (2018, Chapter 9) </w:t>
      </w:r>
      <w:r w:rsidRPr="00324FE3">
        <w:rPr>
          <w:lang w:eastAsia="en-GB"/>
        </w:rPr>
        <w:t>the effective power in aerated conditions </w:t>
      </w:r>
      <m:oMath>
        <m:sSub>
          <m:sSubPr>
            <m:ctrlPr>
              <w:rPr>
                <w:rFonts w:ascii="Cambria Math" w:hAnsi="Cambria Math"/>
                <w:lang w:eastAsia="en-GB"/>
              </w:rPr>
            </m:ctrlPr>
          </m:sSubPr>
          <m:e>
            <m:r>
              <w:rPr>
                <w:rFonts w:ascii="Cambria Math" w:hAnsi="Cambria Math"/>
                <w:lang w:eastAsia="en-GB"/>
              </w:rPr>
              <m:t>P</m:t>
            </m:r>
          </m:e>
          <m:sub>
            <m:r>
              <w:rPr>
                <w:rFonts w:ascii="Cambria Math" w:hAnsi="Cambria Math"/>
                <w:lang w:eastAsia="en-GB"/>
              </w:rPr>
              <m:t>a</m:t>
            </m:r>
          </m:sub>
        </m:sSub>
      </m:oMath>
      <w:r w:rsidRPr="00324FE3">
        <w:rPr>
          <w:lang w:eastAsia="en-GB"/>
        </w:rPr>
        <w:t>, was determined to be 199.7</w:t>
      </w:r>
      <w:r w:rsidR="000B1E20">
        <w:rPr>
          <w:lang w:eastAsia="en-GB"/>
        </w:rPr>
        <w:t xml:space="preserve"> </w:t>
      </w:r>
      <w:r w:rsidRPr="00324FE3">
        <w:rPr>
          <w:lang w:eastAsia="en-GB"/>
        </w:rPr>
        <w:t>W.</w:t>
      </w:r>
    </w:p>
    <w:p w14:paraId="6B025A7B" w14:textId="6A89306B" w:rsidR="00324FE3" w:rsidRDefault="00324FE3" w:rsidP="00324FE3">
      <w:pPr>
        <w:pStyle w:val="CETBodytext"/>
        <w:rPr>
          <w:lang w:eastAsia="en-GB"/>
        </w:rPr>
      </w:pPr>
      <w:r w:rsidRPr="00324FE3">
        <w:rPr>
          <w:lang w:eastAsia="en-GB"/>
        </w:rPr>
        <w:t>Finally, using Eq. 22, the effective </w:t>
      </w:r>
      <m:oMath>
        <m:sSub>
          <m:sSubPr>
            <m:ctrlPr>
              <w:rPr>
                <w:rFonts w:ascii="Cambria Math" w:hAnsi="Cambria Math"/>
                <w:lang w:eastAsia="en-GB"/>
              </w:rPr>
            </m:ctrlPr>
          </m:sSubPr>
          <m:e>
            <m:r>
              <w:rPr>
                <w:rFonts w:ascii="Cambria Math" w:hAnsi="Cambria Math"/>
                <w:lang w:eastAsia="en-GB"/>
              </w:rPr>
              <m:t>k</m:t>
            </m:r>
          </m:e>
          <m:sub>
            <m:r>
              <w:rPr>
                <w:rFonts w:ascii="Cambria Math" w:hAnsi="Cambria Math"/>
                <w:lang w:eastAsia="en-GB"/>
              </w:rPr>
              <m:t>L</m:t>
            </m:r>
          </m:sub>
        </m:sSub>
        <m:r>
          <w:rPr>
            <w:rFonts w:ascii="Cambria Math" w:hAnsi="Cambria Math"/>
            <w:lang w:eastAsia="en-GB"/>
          </w:rPr>
          <m:t>a</m:t>
        </m:r>
      </m:oMath>
      <w:r w:rsidRPr="00324FE3">
        <w:rPr>
          <w:lang w:eastAsia="en-GB"/>
        </w:rPr>
        <w:t xml:space="preserve"> of the designed reactor was calculated to be 0.0311 </w:t>
      </w:r>
      <m:oMath>
        <m:sSup>
          <m:sSupPr>
            <m:ctrlPr>
              <w:rPr>
                <w:rFonts w:ascii="Cambria Math" w:hAnsi="Cambria Math"/>
                <w:lang w:eastAsia="en-GB"/>
              </w:rPr>
            </m:ctrlPr>
          </m:sSupPr>
          <m:e>
            <m:r>
              <w:rPr>
                <w:rFonts w:ascii="Cambria Math" w:hAnsi="Cambria Math"/>
                <w:lang w:eastAsia="en-GB"/>
              </w:rPr>
              <m:t>s</m:t>
            </m:r>
          </m:e>
          <m:sup>
            <m:r>
              <w:rPr>
                <w:rFonts w:ascii="Cambria Math" w:hAnsi="Cambria Math"/>
                <w:lang w:eastAsia="en-GB"/>
              </w:rPr>
              <m:t>-1</m:t>
            </m:r>
          </m:sup>
        </m:sSup>
      </m:oMath>
      <w:r w:rsidRPr="00324FE3">
        <w:rPr>
          <w:lang w:eastAsia="en-GB"/>
        </w:rPr>
        <w:t>, which satisfies the requirement of being higher than the minimum </w:t>
      </w:r>
      <m:oMath>
        <m:sSub>
          <m:sSubPr>
            <m:ctrlPr>
              <w:rPr>
                <w:rFonts w:ascii="Cambria Math" w:hAnsi="Cambria Math"/>
                <w:lang w:eastAsia="en-GB"/>
              </w:rPr>
            </m:ctrlPr>
          </m:sSubPr>
          <m:e>
            <m:r>
              <w:rPr>
                <w:rFonts w:ascii="Cambria Math" w:hAnsi="Cambria Math"/>
                <w:lang w:eastAsia="en-GB"/>
              </w:rPr>
              <m:t>k</m:t>
            </m:r>
          </m:e>
          <m:sub>
            <m:r>
              <w:rPr>
                <w:rFonts w:ascii="Cambria Math" w:hAnsi="Cambria Math"/>
                <w:lang w:eastAsia="en-GB"/>
              </w:rPr>
              <m:t>La,</m:t>
            </m:r>
            <m:r>
              <m:rPr>
                <m:nor/>
              </m:rPr>
              <w:rPr>
                <w:lang w:eastAsia="en-GB"/>
              </w:rPr>
              <m:t>min</m:t>
            </m:r>
          </m:sub>
        </m:sSub>
      </m:oMath>
      <w:r w:rsidRPr="00324FE3">
        <w:rPr>
          <w:lang w:eastAsia="en-GB"/>
        </w:rPr>
        <w:t xml:space="preserve">. </w:t>
      </w:r>
    </w:p>
    <w:p w14:paraId="1903966F" w14:textId="2D096C35" w:rsidR="008C38B1" w:rsidRPr="00760FE1" w:rsidRDefault="00324FE3" w:rsidP="00760FE1">
      <w:pPr>
        <w:pStyle w:val="CETBodytext"/>
      </w:pPr>
      <w:r w:rsidRPr="00760FE1">
        <w:lastRenderedPageBreak/>
        <w:t xml:space="preserve">The reactor design was therefore successfully completed, demonstrating the effectiveness of the proposed approach. </w:t>
      </w:r>
      <w:r w:rsidR="00BD0A90" w:rsidRPr="00760FE1">
        <w:t xml:space="preserve">In fact, </w:t>
      </w:r>
      <w:r w:rsidRPr="00760FE1">
        <w:t>t</w:t>
      </w:r>
      <w:r w:rsidR="0043039D" w:rsidRPr="00760FE1">
        <w:t xml:space="preserve">his </w:t>
      </w:r>
      <w:r w:rsidRPr="00760FE1">
        <w:t xml:space="preserve">methodology </w:t>
      </w:r>
      <w:r w:rsidR="0043039D" w:rsidRPr="00760FE1">
        <w:t xml:space="preserve">allows not only the achievement of the process target, but also ensures that the system is properly mixed, adequately aerated, energetically optimized, free from excessive shear stress, and without floating phenomena, thus addressing in an integrated way the main critical issues typical of CHO cell bioreactors. </w:t>
      </w:r>
    </w:p>
    <w:p w14:paraId="68D26B83" w14:textId="0E40BA21" w:rsidR="00600535" w:rsidRPr="00B57B36" w:rsidRDefault="00600535" w:rsidP="00600535">
      <w:pPr>
        <w:pStyle w:val="CETHeading1"/>
        <w:rPr>
          <w:lang w:val="en-GB"/>
        </w:rPr>
      </w:pPr>
      <w:r w:rsidRPr="00B57B36">
        <w:rPr>
          <w:lang w:val="en-GB"/>
        </w:rPr>
        <w:t>Conclusions</w:t>
      </w:r>
    </w:p>
    <w:p w14:paraId="5BF39B0F" w14:textId="04B69BC9" w:rsidR="00760FE1" w:rsidRPr="00760FE1" w:rsidRDefault="00760FE1" w:rsidP="00760FE1">
      <w:pPr>
        <w:pStyle w:val="CETBodytext"/>
        <w:rPr>
          <w:lang w:eastAsia="en-GB"/>
        </w:rPr>
      </w:pPr>
      <w:r w:rsidRPr="00760FE1">
        <w:rPr>
          <w:lang w:eastAsia="en-GB"/>
        </w:rPr>
        <w:t xml:space="preserve">This work proposes a practical and effective tool for the design of CHO cell bioreactors, based on the integration of mathematical modeling with selected scale-up design criteria. The developed approach systematically accounts for the main critical issues typical of these systems, such as oxygen limitation, floating phenomena and </w:t>
      </w:r>
      <w:r w:rsidR="00DA7426">
        <w:rPr>
          <w:lang w:eastAsia="en-GB"/>
        </w:rPr>
        <w:t xml:space="preserve">non-homogeneous </w:t>
      </w:r>
      <w:r w:rsidRPr="00760FE1">
        <w:rPr>
          <w:lang w:eastAsia="en-GB"/>
        </w:rPr>
        <w:t>gas dispersion, as well as shear stresses generated by agitation that may damage the cells.</w:t>
      </w:r>
      <w:r>
        <w:rPr>
          <w:lang w:eastAsia="en-GB"/>
        </w:rPr>
        <w:t xml:space="preserve"> </w:t>
      </w:r>
      <w:r w:rsidRPr="00760FE1">
        <w:rPr>
          <w:lang w:eastAsia="en-GB"/>
        </w:rPr>
        <w:t>These aspects were considered simultaneously through the development of a design algorithm that guides the consistent selection of key design parameters, enabling the development of a reactor that is not only operationally robust and stable, but also efficient with respect to the desired production target.</w:t>
      </w:r>
      <w:r>
        <w:rPr>
          <w:lang w:eastAsia="en-GB"/>
        </w:rPr>
        <w:t xml:space="preserve"> </w:t>
      </w:r>
      <w:r w:rsidRPr="00760FE1">
        <w:rPr>
          <w:lang w:eastAsia="en-GB"/>
        </w:rPr>
        <w:t xml:space="preserve">To validate the proposed methodology, a case study based on literature data was presented. The model proved </w:t>
      </w:r>
      <w:r w:rsidR="00D91575">
        <w:rPr>
          <w:lang w:eastAsia="en-GB"/>
        </w:rPr>
        <w:t xml:space="preserve">the </w:t>
      </w:r>
      <w:r w:rsidRPr="00760FE1">
        <w:rPr>
          <w:lang w:eastAsia="en-GB"/>
        </w:rPr>
        <w:t>capab</w:t>
      </w:r>
      <w:r w:rsidR="00D91575">
        <w:rPr>
          <w:lang w:eastAsia="en-GB"/>
        </w:rPr>
        <w:t>ility</w:t>
      </w:r>
      <w:r w:rsidRPr="00760FE1">
        <w:rPr>
          <w:lang w:eastAsia="en-GB"/>
        </w:rPr>
        <w:t xml:space="preserve"> of accurately predicting substrate consumption and catabolite production by fitting the kinetic parameters to experimental profiles. This validation allowed the model to be used to determine the optimal operating conditions of the reactor.</w:t>
      </w:r>
      <w:r>
        <w:rPr>
          <w:lang w:eastAsia="en-GB"/>
        </w:rPr>
        <w:t xml:space="preserve"> </w:t>
      </w:r>
      <w:r w:rsidRPr="00760FE1">
        <w:rPr>
          <w:lang w:eastAsia="en-GB"/>
        </w:rPr>
        <w:t>These results were subsequently integrated into the scale-up algorithm, leading to the successful and systematic design of a 5000 L bioreactor, satisfying all imposed design criteria.</w:t>
      </w:r>
      <w:r>
        <w:rPr>
          <w:lang w:eastAsia="en-GB"/>
        </w:rPr>
        <w:t xml:space="preserve"> </w:t>
      </w:r>
      <w:r w:rsidRPr="00760FE1">
        <w:rPr>
          <w:lang w:eastAsia="en-GB"/>
        </w:rPr>
        <w:t>In conclusion, this study presents an effective methodology for the design and optimization of CHO cell bioreactors, while also providing the necessary bibliographic references for a comprehensive understanding of the topic. Furthermore, the proposed framework represents a methodological basis that can be extended to other types of bioreactors, where different constraints and optimization strategies must be considered.</w:t>
      </w:r>
    </w:p>
    <w:p w14:paraId="4F1327F8" w14:textId="77777777" w:rsidR="00600535" w:rsidRDefault="00600535" w:rsidP="00600535">
      <w:pPr>
        <w:pStyle w:val="CETReference"/>
      </w:pPr>
      <w:r w:rsidRPr="00B57B36">
        <w:t>References</w:t>
      </w:r>
    </w:p>
    <w:p w14:paraId="0104FDD8" w14:textId="0293614C" w:rsidR="00DA1390" w:rsidRDefault="00DA1390" w:rsidP="002F14BE">
      <w:pPr>
        <w:pStyle w:val="CETReferencetext"/>
        <w:rPr>
          <w:lang w:val="en-IT" w:eastAsia="en-GB"/>
        </w:rPr>
      </w:pPr>
      <w:r w:rsidRPr="00DA1390">
        <w:rPr>
          <w:lang w:val="en-IT" w:eastAsia="en-GB"/>
        </w:rPr>
        <w:t>Ahleboot, Z., Khorshidtalab, M., Motahari, P., Mahboudi, R., Arjmand, R., Mokarizadeh, A., &amp; Maleknia, S.</w:t>
      </w:r>
      <w:r>
        <w:rPr>
          <w:lang w:val="en-IT" w:eastAsia="en-GB"/>
        </w:rPr>
        <w:t>,</w:t>
      </w:r>
      <w:r w:rsidRPr="00DA1390">
        <w:rPr>
          <w:lang w:val="en-IT" w:eastAsia="en-GB"/>
        </w:rPr>
        <w:t>2021. Designing a strategy for pH control to improve CHO cell productivity in bioreactor. Avicenna Journal of Medical Biotechnology, 13(3), 123.</w:t>
      </w:r>
    </w:p>
    <w:p w14:paraId="5A09B86B" w14:textId="64CF5537" w:rsidR="002F14BE" w:rsidRPr="002F14BE" w:rsidRDefault="002F14BE" w:rsidP="002F14BE">
      <w:pPr>
        <w:pStyle w:val="CETReferencetext"/>
      </w:pPr>
      <w:r w:rsidRPr="002F14BE">
        <w:t>Bailey, James E., and David F. Ollis. Biochemical engineering fundamentals. McGraw-Hill, 2018.</w:t>
      </w:r>
    </w:p>
    <w:p w14:paraId="1F2E9BD2" w14:textId="6B0851C3" w:rsidR="00DA1390" w:rsidRDefault="00DA1390" w:rsidP="004E2D3B">
      <w:pPr>
        <w:pStyle w:val="CETReferencetext"/>
        <w:rPr>
          <w:lang w:val="en-IT" w:eastAsia="en-GB"/>
        </w:rPr>
      </w:pPr>
      <w:r w:rsidRPr="00DA1390">
        <w:rPr>
          <w:lang w:val="en-IT" w:eastAsia="en-GB"/>
        </w:rPr>
        <w:t>Martínez, V. S., Dietmair, S., Quek, L. E., Hodson, M. P., Gray, P., &amp; Nielsen, L. K.</w:t>
      </w:r>
      <w:r>
        <w:rPr>
          <w:lang w:val="en-IT" w:eastAsia="en-GB"/>
        </w:rPr>
        <w:t xml:space="preserve">, </w:t>
      </w:r>
      <w:r w:rsidRPr="00DA1390">
        <w:rPr>
          <w:lang w:val="en-IT" w:eastAsia="en-GB"/>
        </w:rPr>
        <w:t>2013. Flux balance analysis of CHO cells before and after a metabolic switch from lactate production to consumption. Biotechnology and bioengineering, 110(2), 660-666.</w:t>
      </w:r>
    </w:p>
    <w:p w14:paraId="32472775" w14:textId="40EEB1DA" w:rsidR="00DA1390" w:rsidRDefault="00DA1390" w:rsidP="004E2D3B">
      <w:pPr>
        <w:pStyle w:val="CETReferencetext"/>
        <w:rPr>
          <w:lang w:val="en-IT" w:eastAsia="en-GB"/>
        </w:rPr>
      </w:pPr>
      <w:r w:rsidRPr="00DA1390">
        <w:rPr>
          <w:lang w:val="en-IT" w:eastAsia="en-GB"/>
        </w:rPr>
        <w:t>Moucha, T., Linek, V., &amp; Prokopová, E.</w:t>
      </w:r>
      <w:r>
        <w:rPr>
          <w:lang w:val="en-IT" w:eastAsia="en-GB"/>
        </w:rPr>
        <w:t xml:space="preserve">, </w:t>
      </w:r>
      <w:r w:rsidRPr="00DA1390">
        <w:rPr>
          <w:lang w:val="en-IT" w:eastAsia="en-GB"/>
        </w:rPr>
        <w:t>2003. Gas hold-up, mixing time and gas–liquid volumetric mass transfer coefficient of various multiple-impeller configurations: Rushton turbine, pitched blade and techmix impeller and their combinations. Chemical Engineering Science, 58(9), 1839-1846.</w:t>
      </w:r>
    </w:p>
    <w:p w14:paraId="5B7B090A" w14:textId="352F755B" w:rsidR="0023028F" w:rsidRDefault="00DA1390" w:rsidP="004E2D3B">
      <w:pPr>
        <w:pStyle w:val="CETReferencetext"/>
        <w:rPr>
          <w:lang w:val="en-IT" w:eastAsia="en-GB"/>
        </w:rPr>
      </w:pPr>
      <w:r w:rsidRPr="00DA1390">
        <w:rPr>
          <w:lang w:val="en-IT" w:eastAsia="en-GB"/>
        </w:rPr>
        <w:t>Noh, S. M., Park, J. H., Lim, M. S., Kim, J. W., &amp; Lee, G. M.</w:t>
      </w:r>
      <w:r>
        <w:rPr>
          <w:lang w:val="en-IT" w:eastAsia="en-GB"/>
        </w:rPr>
        <w:t xml:space="preserve">, </w:t>
      </w:r>
      <w:r w:rsidRPr="00DA1390">
        <w:rPr>
          <w:lang w:val="en-IT" w:eastAsia="en-GB"/>
        </w:rPr>
        <w:t>2017. Reduction of ammonia and lactate through the coupling of glutamine synthetase selection and downregulation of lactate dehydrogenase-A in CHO cells. Applied microbiology and biotechnology, 101(3), 1035-1045.</w:t>
      </w:r>
    </w:p>
    <w:p w14:paraId="05CE43B5" w14:textId="411EE428" w:rsidR="00DA1390" w:rsidRDefault="00DA1390" w:rsidP="004E2D3B">
      <w:pPr>
        <w:pStyle w:val="CETReferencetext"/>
        <w:rPr>
          <w:lang w:val="en-IT" w:eastAsia="en-GB"/>
        </w:rPr>
      </w:pPr>
      <w:r w:rsidRPr="00DA1390">
        <w:rPr>
          <w:lang w:val="en-IT" w:eastAsia="en-GB"/>
        </w:rPr>
        <w:t>Jayapal, K. P., Wlaschin, K. F., Hu, W., &amp; Yap, M. G.</w:t>
      </w:r>
      <w:r>
        <w:rPr>
          <w:lang w:val="en-IT" w:eastAsia="en-GB"/>
        </w:rPr>
        <w:t xml:space="preserve">, </w:t>
      </w:r>
      <w:r w:rsidRPr="00DA1390">
        <w:rPr>
          <w:lang w:val="en-IT" w:eastAsia="en-GB"/>
        </w:rPr>
        <w:t>2007. Recombinant protein therapeutics from CHO cells-20 years and counting. Chemical engineering progress, 103(10), 40.</w:t>
      </w:r>
    </w:p>
    <w:p w14:paraId="3BF7691C" w14:textId="03B33D85" w:rsidR="00557728" w:rsidRDefault="00557728" w:rsidP="004E2D3B">
      <w:pPr>
        <w:pStyle w:val="CETReferencetext"/>
        <w:rPr>
          <w:lang w:val="en-IT" w:eastAsia="en-GB"/>
        </w:rPr>
      </w:pPr>
      <w:r w:rsidRPr="00557728">
        <w:rPr>
          <w:lang w:val="en-IT" w:eastAsia="en-GB"/>
        </w:rPr>
        <w:t>Kenmoku, H., Kaneko, A., Saito, T., Nemoto, T., Kato, Y., &amp; Ohira, S.</w:t>
      </w:r>
      <w:r w:rsidR="00DA1390">
        <w:rPr>
          <w:lang w:val="en-IT" w:eastAsia="en-GB"/>
        </w:rPr>
        <w:t xml:space="preserve">, </w:t>
      </w:r>
      <w:r w:rsidRPr="00557728">
        <w:rPr>
          <w:lang w:val="en-IT" w:eastAsia="en-GB"/>
        </w:rPr>
        <w:t>2025. Scale</w:t>
      </w:r>
      <w:r w:rsidRPr="00557728">
        <w:rPr>
          <w:rFonts w:ascii="Cambria Math" w:hAnsi="Cambria Math" w:cs="Cambria Math"/>
          <w:lang w:val="en-IT" w:eastAsia="en-GB"/>
        </w:rPr>
        <w:t>‐</w:t>
      </w:r>
      <w:r w:rsidRPr="00557728">
        <w:rPr>
          <w:lang w:val="en-IT" w:eastAsia="en-GB"/>
        </w:rPr>
        <w:t>Up Strategy Focused on Hydrodynamic Stress for Mammalian Cell Culture Established by a Dry</w:t>
      </w:r>
      <w:r w:rsidRPr="00557728">
        <w:rPr>
          <w:rFonts w:ascii="Cambria Math" w:hAnsi="Cambria Math" w:cs="Cambria Math"/>
          <w:lang w:val="en-IT" w:eastAsia="en-GB"/>
        </w:rPr>
        <w:t>‐</w:t>
      </w:r>
      <w:r w:rsidRPr="00557728">
        <w:rPr>
          <w:lang w:val="en-IT" w:eastAsia="en-GB"/>
        </w:rPr>
        <w:t>Wet Approach. Engineering in Life Sciences, 25(11), e70054.</w:t>
      </w:r>
    </w:p>
    <w:p w14:paraId="4E322BDA" w14:textId="77777777" w:rsidR="00DA1390" w:rsidRDefault="00DA1390" w:rsidP="00DA1390">
      <w:pPr>
        <w:pStyle w:val="CETReferencetext"/>
        <w:rPr>
          <w:lang w:val="en-IT" w:eastAsia="en-GB"/>
        </w:rPr>
      </w:pPr>
      <w:r w:rsidRPr="00DA1390">
        <w:rPr>
          <w:lang w:val="en-IT" w:eastAsia="en-GB"/>
        </w:rPr>
        <w:t>Pereira, S., Kildegaard, H. F., &amp; Andersen, M. R.</w:t>
      </w:r>
      <w:r>
        <w:rPr>
          <w:lang w:val="en-IT" w:eastAsia="en-GB"/>
        </w:rPr>
        <w:t xml:space="preserve">, </w:t>
      </w:r>
      <w:r w:rsidRPr="00DA1390">
        <w:rPr>
          <w:lang w:val="en-IT" w:eastAsia="en-GB"/>
        </w:rPr>
        <w:t>2018. Impact of CHO metabolism on cell growth and protein production: an overview of toxic and inhibiting metabolites and nutrients. Biotechnology Journal, 13(3), 1700499.</w:t>
      </w:r>
    </w:p>
    <w:p w14:paraId="7D3B490D" w14:textId="61D7971A" w:rsidR="004E2D3B" w:rsidRPr="00DA1390" w:rsidRDefault="00DA1390" w:rsidP="00DA1390">
      <w:pPr>
        <w:pStyle w:val="CETReferencetext"/>
        <w:rPr>
          <w:lang w:val="en-IT" w:eastAsia="en-GB"/>
        </w:rPr>
      </w:pPr>
      <w:r w:rsidRPr="00DA1390">
        <w:rPr>
          <w:lang w:val="en-IT" w:eastAsia="en-GB"/>
        </w:rPr>
        <w:t>Xing, Z., Kenty, B. M., Li, Z. J., &amp; Lee, S. S.</w:t>
      </w:r>
      <w:r>
        <w:rPr>
          <w:lang w:val="en-IT" w:eastAsia="en-GB"/>
        </w:rPr>
        <w:t xml:space="preserve">, </w:t>
      </w:r>
      <w:r w:rsidRPr="00DA1390">
        <w:rPr>
          <w:lang w:val="en-IT" w:eastAsia="en-GB"/>
        </w:rPr>
        <w:t>2009. Scale</w:t>
      </w:r>
      <w:r w:rsidRPr="00DA1390">
        <w:rPr>
          <w:rFonts w:ascii="Cambria Math" w:hAnsi="Cambria Math" w:cs="Cambria Math"/>
          <w:lang w:val="en-IT" w:eastAsia="en-GB"/>
        </w:rPr>
        <w:t>‐</w:t>
      </w:r>
      <w:r w:rsidRPr="00DA1390">
        <w:rPr>
          <w:lang w:val="en-IT" w:eastAsia="en-GB"/>
        </w:rPr>
        <w:t>up analysis for a CHO cell culture process in large</w:t>
      </w:r>
      <w:r w:rsidRPr="00DA1390">
        <w:rPr>
          <w:rFonts w:ascii="Cambria Math" w:hAnsi="Cambria Math" w:cs="Cambria Math"/>
          <w:lang w:val="en-IT" w:eastAsia="en-GB"/>
        </w:rPr>
        <w:t>‐</w:t>
      </w:r>
      <w:r w:rsidRPr="00DA1390">
        <w:rPr>
          <w:lang w:val="en-IT" w:eastAsia="en-GB"/>
        </w:rPr>
        <w:t>scale bioreactors. Biotechnology and bioengineering, 103(4), 733-746.</w:t>
      </w: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309C" w14:textId="77777777" w:rsidR="00997562" w:rsidRDefault="00997562" w:rsidP="004F5E36">
      <w:r>
        <w:separator/>
      </w:r>
    </w:p>
  </w:endnote>
  <w:endnote w:type="continuationSeparator" w:id="0">
    <w:p w14:paraId="79345B8A" w14:textId="77777777" w:rsidR="00997562" w:rsidRDefault="0099756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9D8E" w14:textId="77777777" w:rsidR="00997562" w:rsidRDefault="00997562" w:rsidP="004F5E36">
      <w:r>
        <w:separator/>
      </w:r>
    </w:p>
  </w:footnote>
  <w:footnote w:type="continuationSeparator" w:id="0">
    <w:p w14:paraId="73934B57" w14:textId="77777777" w:rsidR="00997562" w:rsidRDefault="0099756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26BD"/>
    <w:rsid w:val="000562A9"/>
    <w:rsid w:val="00062A9A"/>
    <w:rsid w:val="00065058"/>
    <w:rsid w:val="00086C39"/>
    <w:rsid w:val="00090D6A"/>
    <w:rsid w:val="000A03B2"/>
    <w:rsid w:val="000B1E20"/>
    <w:rsid w:val="000C2064"/>
    <w:rsid w:val="000D0268"/>
    <w:rsid w:val="000D34BE"/>
    <w:rsid w:val="000E102F"/>
    <w:rsid w:val="000E36F1"/>
    <w:rsid w:val="000E3A73"/>
    <w:rsid w:val="000E414A"/>
    <w:rsid w:val="000E44F1"/>
    <w:rsid w:val="000E75FD"/>
    <w:rsid w:val="000F093C"/>
    <w:rsid w:val="000F5566"/>
    <w:rsid w:val="000F787B"/>
    <w:rsid w:val="00105E16"/>
    <w:rsid w:val="00112CE9"/>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55CBD"/>
    <w:rsid w:val="00164CF9"/>
    <w:rsid w:val="001667A6"/>
    <w:rsid w:val="00182565"/>
    <w:rsid w:val="00184AD6"/>
    <w:rsid w:val="00192D98"/>
    <w:rsid w:val="001A4AF7"/>
    <w:rsid w:val="001B0349"/>
    <w:rsid w:val="001B1E93"/>
    <w:rsid w:val="001B59ED"/>
    <w:rsid w:val="001B65C1"/>
    <w:rsid w:val="001C260F"/>
    <w:rsid w:val="001C33F1"/>
    <w:rsid w:val="001C684B"/>
    <w:rsid w:val="001D0CFB"/>
    <w:rsid w:val="001D21AF"/>
    <w:rsid w:val="001D53FC"/>
    <w:rsid w:val="001F3509"/>
    <w:rsid w:val="001F42A5"/>
    <w:rsid w:val="001F7B9D"/>
    <w:rsid w:val="00201C93"/>
    <w:rsid w:val="002224B4"/>
    <w:rsid w:val="0023028F"/>
    <w:rsid w:val="002447EF"/>
    <w:rsid w:val="00251550"/>
    <w:rsid w:val="00255B91"/>
    <w:rsid w:val="00263B05"/>
    <w:rsid w:val="0027221A"/>
    <w:rsid w:val="00275B61"/>
    <w:rsid w:val="00280FAF"/>
    <w:rsid w:val="00282656"/>
    <w:rsid w:val="00296B83"/>
    <w:rsid w:val="002B4015"/>
    <w:rsid w:val="002B78CE"/>
    <w:rsid w:val="002C2FB6"/>
    <w:rsid w:val="002C45DA"/>
    <w:rsid w:val="002D11A7"/>
    <w:rsid w:val="002E5FA7"/>
    <w:rsid w:val="002F14BE"/>
    <w:rsid w:val="002F3309"/>
    <w:rsid w:val="002F64AB"/>
    <w:rsid w:val="003008CE"/>
    <w:rsid w:val="003009B7"/>
    <w:rsid w:val="00300E56"/>
    <w:rsid w:val="0030152C"/>
    <w:rsid w:val="0030469C"/>
    <w:rsid w:val="00317E4A"/>
    <w:rsid w:val="00321CA6"/>
    <w:rsid w:val="00323763"/>
    <w:rsid w:val="00323C5F"/>
    <w:rsid w:val="00324FE3"/>
    <w:rsid w:val="00334C09"/>
    <w:rsid w:val="003723D4"/>
    <w:rsid w:val="00380964"/>
    <w:rsid w:val="00381905"/>
    <w:rsid w:val="003820B6"/>
    <w:rsid w:val="003838C2"/>
    <w:rsid w:val="00384CC8"/>
    <w:rsid w:val="0038600A"/>
    <w:rsid w:val="003871FD"/>
    <w:rsid w:val="003921D1"/>
    <w:rsid w:val="003A1E30"/>
    <w:rsid w:val="003A2829"/>
    <w:rsid w:val="003A7D1C"/>
    <w:rsid w:val="003B304B"/>
    <w:rsid w:val="003B3146"/>
    <w:rsid w:val="003D1E02"/>
    <w:rsid w:val="003F015E"/>
    <w:rsid w:val="00400414"/>
    <w:rsid w:val="00413B00"/>
    <w:rsid w:val="0041446B"/>
    <w:rsid w:val="0043039D"/>
    <w:rsid w:val="0044071E"/>
    <w:rsid w:val="0044329C"/>
    <w:rsid w:val="00453E24"/>
    <w:rsid w:val="00457456"/>
    <w:rsid w:val="004577FE"/>
    <w:rsid w:val="00457B9C"/>
    <w:rsid w:val="0046164A"/>
    <w:rsid w:val="004628D2"/>
    <w:rsid w:val="00462DCD"/>
    <w:rsid w:val="00463CBB"/>
    <w:rsid w:val="004648AD"/>
    <w:rsid w:val="0046546E"/>
    <w:rsid w:val="004703A9"/>
    <w:rsid w:val="00472F9B"/>
    <w:rsid w:val="004760DE"/>
    <w:rsid w:val="004763D7"/>
    <w:rsid w:val="00492769"/>
    <w:rsid w:val="004A004E"/>
    <w:rsid w:val="004A24CF"/>
    <w:rsid w:val="004A5E57"/>
    <w:rsid w:val="004C194F"/>
    <w:rsid w:val="004C3D1D"/>
    <w:rsid w:val="004C3D84"/>
    <w:rsid w:val="004C7913"/>
    <w:rsid w:val="004D0C1B"/>
    <w:rsid w:val="004E2D3B"/>
    <w:rsid w:val="004E4DD6"/>
    <w:rsid w:val="004F5E36"/>
    <w:rsid w:val="004F6CD0"/>
    <w:rsid w:val="00507B47"/>
    <w:rsid w:val="00507BEF"/>
    <w:rsid w:val="00507CC9"/>
    <w:rsid w:val="005119A5"/>
    <w:rsid w:val="005278B7"/>
    <w:rsid w:val="00532016"/>
    <w:rsid w:val="005346C8"/>
    <w:rsid w:val="00543E7D"/>
    <w:rsid w:val="00547A68"/>
    <w:rsid w:val="005531C9"/>
    <w:rsid w:val="00557728"/>
    <w:rsid w:val="0056701D"/>
    <w:rsid w:val="00570C43"/>
    <w:rsid w:val="005711A2"/>
    <w:rsid w:val="005831FC"/>
    <w:rsid w:val="00592274"/>
    <w:rsid w:val="005B2110"/>
    <w:rsid w:val="005B61E6"/>
    <w:rsid w:val="005C77E1"/>
    <w:rsid w:val="005D668A"/>
    <w:rsid w:val="005D6A2F"/>
    <w:rsid w:val="005E0592"/>
    <w:rsid w:val="005E1A82"/>
    <w:rsid w:val="005E6E24"/>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80C23"/>
    <w:rsid w:val="00683E23"/>
    <w:rsid w:val="00684298"/>
    <w:rsid w:val="006906CD"/>
    <w:rsid w:val="00693766"/>
    <w:rsid w:val="006A3281"/>
    <w:rsid w:val="006A5B6C"/>
    <w:rsid w:val="006A774F"/>
    <w:rsid w:val="006B4888"/>
    <w:rsid w:val="006C2E45"/>
    <w:rsid w:val="006C359C"/>
    <w:rsid w:val="006C5579"/>
    <w:rsid w:val="006D6E8B"/>
    <w:rsid w:val="006D7209"/>
    <w:rsid w:val="006E737D"/>
    <w:rsid w:val="006F244A"/>
    <w:rsid w:val="006F7438"/>
    <w:rsid w:val="0070012D"/>
    <w:rsid w:val="00707DD1"/>
    <w:rsid w:val="00713973"/>
    <w:rsid w:val="00720A24"/>
    <w:rsid w:val="00732386"/>
    <w:rsid w:val="00732D31"/>
    <w:rsid w:val="0073514D"/>
    <w:rsid w:val="007447F3"/>
    <w:rsid w:val="0075499F"/>
    <w:rsid w:val="00760471"/>
    <w:rsid w:val="00760FE1"/>
    <w:rsid w:val="007617CC"/>
    <w:rsid w:val="007661C8"/>
    <w:rsid w:val="0077098D"/>
    <w:rsid w:val="0077302C"/>
    <w:rsid w:val="00785BF9"/>
    <w:rsid w:val="007931FA"/>
    <w:rsid w:val="007A2663"/>
    <w:rsid w:val="007A4861"/>
    <w:rsid w:val="007A7BBA"/>
    <w:rsid w:val="007B0C50"/>
    <w:rsid w:val="007B48F9"/>
    <w:rsid w:val="007C1A43"/>
    <w:rsid w:val="007D0951"/>
    <w:rsid w:val="007E6536"/>
    <w:rsid w:val="007F27C8"/>
    <w:rsid w:val="007F3D5F"/>
    <w:rsid w:val="007F634C"/>
    <w:rsid w:val="0080013E"/>
    <w:rsid w:val="00813288"/>
    <w:rsid w:val="008168FC"/>
    <w:rsid w:val="00830996"/>
    <w:rsid w:val="008314D7"/>
    <w:rsid w:val="008345F1"/>
    <w:rsid w:val="00834757"/>
    <w:rsid w:val="0086017D"/>
    <w:rsid w:val="00865B07"/>
    <w:rsid w:val="008667EA"/>
    <w:rsid w:val="008754D1"/>
    <w:rsid w:val="0087637F"/>
    <w:rsid w:val="00892AD5"/>
    <w:rsid w:val="008A1512"/>
    <w:rsid w:val="008C38B1"/>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5AE"/>
    <w:rsid w:val="009459BB"/>
    <w:rsid w:val="00947179"/>
    <w:rsid w:val="0095164B"/>
    <w:rsid w:val="00954090"/>
    <w:rsid w:val="009573E7"/>
    <w:rsid w:val="00957F3C"/>
    <w:rsid w:val="00963E05"/>
    <w:rsid w:val="00964A45"/>
    <w:rsid w:val="009653AC"/>
    <w:rsid w:val="00967843"/>
    <w:rsid w:val="00967D54"/>
    <w:rsid w:val="00971028"/>
    <w:rsid w:val="00993B84"/>
    <w:rsid w:val="00996483"/>
    <w:rsid w:val="00996F5A"/>
    <w:rsid w:val="00997562"/>
    <w:rsid w:val="009B041A"/>
    <w:rsid w:val="009C37C3"/>
    <w:rsid w:val="009C7C86"/>
    <w:rsid w:val="009D2FF7"/>
    <w:rsid w:val="009E7884"/>
    <w:rsid w:val="009E788A"/>
    <w:rsid w:val="009F0E08"/>
    <w:rsid w:val="00A01F50"/>
    <w:rsid w:val="00A079AE"/>
    <w:rsid w:val="00A1763D"/>
    <w:rsid w:val="00A17CEC"/>
    <w:rsid w:val="00A26CBB"/>
    <w:rsid w:val="00A27EF0"/>
    <w:rsid w:val="00A42361"/>
    <w:rsid w:val="00A43DA1"/>
    <w:rsid w:val="00A50B20"/>
    <w:rsid w:val="00A51390"/>
    <w:rsid w:val="00A60D13"/>
    <w:rsid w:val="00A628B1"/>
    <w:rsid w:val="00A7223D"/>
    <w:rsid w:val="00A72745"/>
    <w:rsid w:val="00A76EFC"/>
    <w:rsid w:val="00A8687C"/>
    <w:rsid w:val="00A87D50"/>
    <w:rsid w:val="00A91010"/>
    <w:rsid w:val="00A97F29"/>
    <w:rsid w:val="00AA702E"/>
    <w:rsid w:val="00AA7D26"/>
    <w:rsid w:val="00AB0964"/>
    <w:rsid w:val="00AB5011"/>
    <w:rsid w:val="00AC7368"/>
    <w:rsid w:val="00AD0278"/>
    <w:rsid w:val="00AD16B9"/>
    <w:rsid w:val="00AE377D"/>
    <w:rsid w:val="00AF0EBA"/>
    <w:rsid w:val="00AF2ABE"/>
    <w:rsid w:val="00B0217F"/>
    <w:rsid w:val="00B02C8A"/>
    <w:rsid w:val="00B17FBD"/>
    <w:rsid w:val="00B315A6"/>
    <w:rsid w:val="00B31813"/>
    <w:rsid w:val="00B33365"/>
    <w:rsid w:val="00B57B36"/>
    <w:rsid w:val="00B57E6F"/>
    <w:rsid w:val="00B8686D"/>
    <w:rsid w:val="00B93F69"/>
    <w:rsid w:val="00BA4219"/>
    <w:rsid w:val="00BB1DDC"/>
    <w:rsid w:val="00BB27EF"/>
    <w:rsid w:val="00BC11BC"/>
    <w:rsid w:val="00BC30C9"/>
    <w:rsid w:val="00BD077D"/>
    <w:rsid w:val="00BD0A90"/>
    <w:rsid w:val="00BE3E58"/>
    <w:rsid w:val="00BF6969"/>
    <w:rsid w:val="00C01616"/>
    <w:rsid w:val="00C0162B"/>
    <w:rsid w:val="00C068ED"/>
    <w:rsid w:val="00C17C02"/>
    <w:rsid w:val="00C208E9"/>
    <w:rsid w:val="00C22E0C"/>
    <w:rsid w:val="00C33272"/>
    <w:rsid w:val="00C345B1"/>
    <w:rsid w:val="00C40142"/>
    <w:rsid w:val="00C52C3C"/>
    <w:rsid w:val="00C57182"/>
    <w:rsid w:val="00C57863"/>
    <w:rsid w:val="00C640AF"/>
    <w:rsid w:val="00C655FD"/>
    <w:rsid w:val="00C75407"/>
    <w:rsid w:val="00C801F9"/>
    <w:rsid w:val="00C841C6"/>
    <w:rsid w:val="00C870A8"/>
    <w:rsid w:val="00C94434"/>
    <w:rsid w:val="00CA0D6D"/>
    <w:rsid w:val="00CA0D75"/>
    <w:rsid w:val="00CA0E8B"/>
    <w:rsid w:val="00CA1C95"/>
    <w:rsid w:val="00CA5A9C"/>
    <w:rsid w:val="00CC4C20"/>
    <w:rsid w:val="00CD3517"/>
    <w:rsid w:val="00CD5FE2"/>
    <w:rsid w:val="00CE7C68"/>
    <w:rsid w:val="00D02B4C"/>
    <w:rsid w:val="00D040C4"/>
    <w:rsid w:val="00D0559E"/>
    <w:rsid w:val="00D20AD1"/>
    <w:rsid w:val="00D2582C"/>
    <w:rsid w:val="00D46B7E"/>
    <w:rsid w:val="00D51C13"/>
    <w:rsid w:val="00D57C84"/>
    <w:rsid w:val="00D6057D"/>
    <w:rsid w:val="00D651E8"/>
    <w:rsid w:val="00D71640"/>
    <w:rsid w:val="00D836C5"/>
    <w:rsid w:val="00D84576"/>
    <w:rsid w:val="00D87248"/>
    <w:rsid w:val="00D91575"/>
    <w:rsid w:val="00D96B0F"/>
    <w:rsid w:val="00DA1390"/>
    <w:rsid w:val="00DA1399"/>
    <w:rsid w:val="00DA24C6"/>
    <w:rsid w:val="00DA4D7B"/>
    <w:rsid w:val="00DA7426"/>
    <w:rsid w:val="00DB50DD"/>
    <w:rsid w:val="00DD271C"/>
    <w:rsid w:val="00DE264A"/>
    <w:rsid w:val="00DF5072"/>
    <w:rsid w:val="00E02D18"/>
    <w:rsid w:val="00E041E7"/>
    <w:rsid w:val="00E23CA1"/>
    <w:rsid w:val="00E409A8"/>
    <w:rsid w:val="00E47D61"/>
    <w:rsid w:val="00E50C12"/>
    <w:rsid w:val="00E65B91"/>
    <w:rsid w:val="00E6703E"/>
    <w:rsid w:val="00E7209D"/>
    <w:rsid w:val="00E72EAD"/>
    <w:rsid w:val="00E75383"/>
    <w:rsid w:val="00E77223"/>
    <w:rsid w:val="00E8528B"/>
    <w:rsid w:val="00E85B94"/>
    <w:rsid w:val="00E978D0"/>
    <w:rsid w:val="00EA4613"/>
    <w:rsid w:val="00EA7F91"/>
    <w:rsid w:val="00EB1523"/>
    <w:rsid w:val="00EB4D5B"/>
    <w:rsid w:val="00EC06BC"/>
    <w:rsid w:val="00EC0E49"/>
    <w:rsid w:val="00EC101F"/>
    <w:rsid w:val="00EC1D9F"/>
    <w:rsid w:val="00EC55BC"/>
    <w:rsid w:val="00EE0131"/>
    <w:rsid w:val="00EE17B0"/>
    <w:rsid w:val="00EF06D9"/>
    <w:rsid w:val="00EF0982"/>
    <w:rsid w:val="00F045D4"/>
    <w:rsid w:val="00F25CD0"/>
    <w:rsid w:val="00F3049E"/>
    <w:rsid w:val="00F30C64"/>
    <w:rsid w:val="00F32BA2"/>
    <w:rsid w:val="00F32CDB"/>
    <w:rsid w:val="00F3348F"/>
    <w:rsid w:val="00F37280"/>
    <w:rsid w:val="00F41EE4"/>
    <w:rsid w:val="00F51CD3"/>
    <w:rsid w:val="00F54FF6"/>
    <w:rsid w:val="00F565FE"/>
    <w:rsid w:val="00F63A70"/>
    <w:rsid w:val="00F63D8C"/>
    <w:rsid w:val="00F7534E"/>
    <w:rsid w:val="00F93EDF"/>
    <w:rsid w:val="00FA1550"/>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paragraph" w:customStyle="1" w:styleId="p1">
    <w:name w:val="p1"/>
    <w:basedOn w:val="Normal"/>
    <w:rsid w:val="004E2D3B"/>
    <w:pPr>
      <w:tabs>
        <w:tab w:val="clear" w:pos="7100"/>
      </w:tabs>
      <w:spacing w:line="240" w:lineRule="auto"/>
      <w:jc w:val="left"/>
    </w:pPr>
    <w:rPr>
      <w:rFonts w:ascii="Helvetica" w:hAnsi="Helvetica"/>
      <w:color w:val="141413"/>
      <w:sz w:val="15"/>
      <w:szCs w:val="15"/>
      <w:lang w:val="en-IT" w:eastAsia="en-GB"/>
    </w:rPr>
  </w:style>
  <w:style w:type="character" w:styleId="PlaceholderText">
    <w:name w:val="Placeholder Text"/>
    <w:basedOn w:val="DefaultParagraphFont"/>
    <w:uiPriority w:val="99"/>
    <w:semiHidden/>
    <w:rsid w:val="00A43DA1"/>
    <w:rPr>
      <w:color w:val="666666"/>
    </w:rPr>
  </w:style>
  <w:style w:type="character" w:customStyle="1" w:styleId="apple-converted-space">
    <w:name w:val="apple-converted-space"/>
    <w:basedOn w:val="DefaultParagraphFont"/>
    <w:rsid w:val="0077302C"/>
  </w:style>
  <w:style w:type="character" w:customStyle="1" w:styleId="mord">
    <w:name w:val="mord"/>
    <w:basedOn w:val="DefaultParagraphFont"/>
    <w:rsid w:val="00DA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3061</Words>
  <Characters>17450</Characters>
  <Application>Microsoft Office Word</Application>
  <DocSecurity>0</DocSecurity>
  <Lines>145</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Daniela De Cata</cp:lastModifiedBy>
  <cp:revision>19</cp:revision>
  <cp:lastPrinted>2015-05-12T18:31:00Z</cp:lastPrinted>
  <dcterms:created xsi:type="dcterms:W3CDTF">2026-02-14T07:28:00Z</dcterms:created>
  <dcterms:modified xsi:type="dcterms:W3CDTF">2026-03-23T10:06:00Z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